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A153F" w14:textId="3368713D" w:rsidR="003326FA" w:rsidRPr="003326FA" w:rsidRDefault="00621571" w:rsidP="00A63B42">
      <w:pPr>
        <w:pStyle w:val="Title"/>
        <w:rPr>
          <w:rFonts w:ascii="Times New Roman" w:eastAsia="Times New Roman" w:hAnsi="Times New Roman"/>
          <w:sz w:val="24"/>
          <w:szCs w:val="24"/>
        </w:rPr>
      </w:pPr>
      <w:r>
        <w:rPr>
          <w:rFonts w:eastAsia="Times New Roman"/>
        </w:rPr>
        <w:t xml:space="preserve">Leasehold Reform (Energy Efficiency) </w:t>
      </w:r>
      <w:r w:rsidR="006F2466">
        <w:rPr>
          <w:rFonts w:eastAsia="Times New Roman"/>
        </w:rPr>
        <w:t>Bill</w:t>
      </w:r>
      <w:r w:rsidR="00B90B2F">
        <w:rPr>
          <w:rFonts w:eastAsia="Times New Roman"/>
        </w:rPr>
        <w:t>:</w:t>
      </w:r>
      <w:r w:rsidR="003326FA" w:rsidRPr="003326FA">
        <w:rPr>
          <w:rFonts w:eastAsia="Times New Roman"/>
        </w:rPr>
        <w:t xml:space="preserve"> </w:t>
      </w:r>
      <w:r w:rsidR="00A63B42">
        <w:rPr>
          <w:rFonts w:eastAsia="Times New Roman"/>
        </w:rPr>
        <w:t>energy efficient flats</w:t>
      </w:r>
    </w:p>
    <w:p w14:paraId="1BDDDCE4" w14:textId="1B62A4A8" w:rsidR="003326FA" w:rsidRPr="00A63B42" w:rsidRDefault="00621571" w:rsidP="00A63B42">
      <w:pPr>
        <w:pStyle w:val="Subtitle"/>
      </w:pPr>
      <w:r>
        <w:t>A Bill to make e</w:t>
      </w:r>
      <w:r w:rsidR="003326FA" w:rsidRPr="00A63B42">
        <w:t>nergy upgrades easier in blocks of flats</w:t>
      </w:r>
    </w:p>
    <w:p w14:paraId="296FE9DA" w14:textId="76F89E90" w:rsidR="003326FA" w:rsidRPr="003326FA" w:rsidRDefault="008604C6" w:rsidP="00A63B42">
      <w:pPr>
        <w:pStyle w:val="Subtitle"/>
        <w:rPr>
          <w:rFonts w:ascii="Times New Roman" w:eastAsia="Times New Roman" w:hAnsi="Times New Roman"/>
          <w:sz w:val="24"/>
          <w:szCs w:val="24"/>
        </w:rPr>
      </w:pPr>
      <w:r>
        <w:rPr>
          <w:rFonts w:eastAsia="Times New Roman"/>
          <w:u w:val="single"/>
        </w:rPr>
        <w:t>Legal Adviser</w:t>
      </w:r>
      <w:r w:rsidR="003E1F51">
        <w:rPr>
          <w:rFonts w:eastAsia="Times New Roman"/>
          <w:u w:val="single"/>
        </w:rPr>
        <w:t>s</w:t>
      </w:r>
      <w:r w:rsidR="003326FA" w:rsidRPr="003326FA">
        <w:rPr>
          <w:rFonts w:eastAsia="Times New Roman"/>
          <w:u w:val="single"/>
        </w:rPr>
        <w:t>:</w:t>
      </w:r>
      <w:r w:rsidR="003326FA" w:rsidRPr="003326FA">
        <w:rPr>
          <w:rFonts w:eastAsia="Times New Roman"/>
        </w:rPr>
        <w:t xml:space="preserve"> Mark Routley,</w:t>
      </w:r>
      <w:r>
        <w:rPr>
          <w:rFonts w:eastAsia="Times New Roman"/>
        </w:rPr>
        <w:t xml:space="preserve"> Partner,</w:t>
      </w:r>
      <w:r w:rsidR="003326FA" w:rsidRPr="003326FA">
        <w:rPr>
          <w:rFonts w:eastAsia="Times New Roman"/>
        </w:rPr>
        <w:t xml:space="preserve"> TLT Solicitors</w:t>
      </w:r>
      <w:r w:rsidR="000A5594">
        <w:rPr>
          <w:rFonts w:eastAsia="Times New Roman"/>
        </w:rPr>
        <w:t>,</w:t>
      </w:r>
      <w:bookmarkStart w:id="0" w:name="_GoBack"/>
      <w:bookmarkEnd w:id="0"/>
      <w:r>
        <w:rPr>
          <w:rFonts w:eastAsia="Times New Roman"/>
        </w:rPr>
        <w:t xml:space="preserve"> </w:t>
      </w:r>
      <w:r w:rsidR="003E1F51">
        <w:rPr>
          <w:rFonts w:eastAsia="Times New Roman"/>
        </w:rPr>
        <w:t>and</w:t>
      </w:r>
      <w:r>
        <w:rPr>
          <w:rFonts w:eastAsia="Times New Roman"/>
        </w:rPr>
        <w:t xml:space="preserve"> Susan Bright</w:t>
      </w:r>
      <w:r w:rsidR="003E1F51">
        <w:rPr>
          <w:rFonts w:eastAsia="Times New Roman"/>
        </w:rPr>
        <w:t xml:space="preserve">, Professor of Land Law, </w:t>
      </w:r>
      <w:r>
        <w:rPr>
          <w:rFonts w:eastAsia="Times New Roman"/>
        </w:rPr>
        <w:t xml:space="preserve">Oxford University </w:t>
      </w:r>
    </w:p>
    <w:p w14:paraId="456B0D90" w14:textId="77777777" w:rsidR="003326FA" w:rsidRDefault="003326FA" w:rsidP="00A63B42">
      <w:pPr>
        <w:pStyle w:val="Heading2"/>
      </w:pPr>
      <w:r w:rsidRPr="00A63B42">
        <w:t>Introduction</w:t>
      </w:r>
    </w:p>
    <w:p w14:paraId="36F41E16" w14:textId="5A1C0FA8" w:rsidR="00114C64" w:rsidRDefault="004662B6" w:rsidP="004662B6">
      <w:r>
        <w:t xml:space="preserve">This paper </w:t>
      </w:r>
      <w:r w:rsidR="00AD73FD">
        <w:t>proposes</w:t>
      </w:r>
      <w:r w:rsidR="00343E06">
        <w:t xml:space="preserve"> </w:t>
      </w:r>
      <w:r w:rsidR="00621571">
        <w:t>the adoption of the Leasehold Reform (Energy Efficiency) Bill, which</w:t>
      </w:r>
      <w:r w:rsidR="00302432">
        <w:t xml:space="preserve"> will </w:t>
      </w:r>
      <w:r>
        <w:t xml:space="preserve">make it easier for freeholders and leaseholders to install energy efficiency measures in </w:t>
      </w:r>
      <w:r w:rsidR="00503E59">
        <w:t xml:space="preserve">both individual </w:t>
      </w:r>
      <w:r>
        <w:t>flats</w:t>
      </w:r>
      <w:r w:rsidR="00503E59">
        <w:t xml:space="preserve"> and whole blocks</w:t>
      </w:r>
      <w:r>
        <w:t xml:space="preserve">. </w:t>
      </w:r>
    </w:p>
    <w:p w14:paraId="4E33047D" w14:textId="77777777" w:rsidR="00114C64" w:rsidRDefault="00302432" w:rsidP="004662B6">
      <w:r>
        <w:t xml:space="preserve">These proposals will impact on homes in </w:t>
      </w:r>
      <w:r w:rsidR="00114C64">
        <w:t>Engl</w:t>
      </w:r>
      <w:r>
        <w:t>and and Wales</w:t>
      </w:r>
      <w:r w:rsidR="00114C64">
        <w:t>. Scottish property law is very different and the Scottish Government has already taken</w:t>
      </w:r>
      <w:r w:rsidR="00FC4400">
        <w:t xml:space="preserve"> </w:t>
      </w:r>
      <w:r>
        <w:t>steps to address this issue</w:t>
      </w:r>
      <w:r w:rsidR="00114C64">
        <w:rPr>
          <w:rStyle w:val="FootnoteReference"/>
        </w:rPr>
        <w:footnoteReference w:id="1"/>
      </w:r>
      <w:r w:rsidR="00114C64">
        <w:t>.</w:t>
      </w:r>
    </w:p>
    <w:p w14:paraId="319B8ED4" w14:textId="77777777" w:rsidR="00302432" w:rsidRDefault="00302432" w:rsidP="004662B6">
      <w:r>
        <w:t>This paper explains:</w:t>
      </w:r>
    </w:p>
    <w:p w14:paraId="37C32AE4" w14:textId="77777777" w:rsidR="00302432" w:rsidRDefault="00302432" w:rsidP="00302432">
      <w:pPr>
        <w:pStyle w:val="ListParagraph"/>
        <w:numPr>
          <w:ilvl w:val="0"/>
          <w:numId w:val="3"/>
        </w:numPr>
      </w:pPr>
      <w:r>
        <w:t>Why we need to change the law in this area</w:t>
      </w:r>
    </w:p>
    <w:p w14:paraId="5551386E" w14:textId="47770FC5" w:rsidR="00302432" w:rsidRDefault="00302432" w:rsidP="00302432">
      <w:pPr>
        <w:pStyle w:val="ListParagraph"/>
        <w:numPr>
          <w:ilvl w:val="0"/>
          <w:numId w:val="3"/>
        </w:numPr>
      </w:pPr>
      <w:r>
        <w:t xml:space="preserve">How our </w:t>
      </w:r>
      <w:r w:rsidR="006F2466">
        <w:t>Bill</w:t>
      </w:r>
      <w:r>
        <w:t xml:space="preserve"> will </w:t>
      </w:r>
      <w:r w:rsidR="00B90B2F">
        <w:t>affect freeholders and leaseholders in blocks of flats</w:t>
      </w:r>
    </w:p>
    <w:p w14:paraId="27EEB85E" w14:textId="0A8BE6D3" w:rsidR="00302432" w:rsidRDefault="00302432" w:rsidP="00302432">
      <w:pPr>
        <w:pStyle w:val="ListParagraph"/>
        <w:numPr>
          <w:ilvl w:val="0"/>
          <w:numId w:val="3"/>
        </w:numPr>
      </w:pPr>
      <w:r>
        <w:t xml:space="preserve">The text of </w:t>
      </w:r>
      <w:r w:rsidR="00621571">
        <w:t>the Leasehold Reform (Energy Efficiency)</w:t>
      </w:r>
      <w:r>
        <w:t xml:space="preserve"> </w:t>
      </w:r>
      <w:r w:rsidR="006F2466">
        <w:t>Bill</w:t>
      </w:r>
    </w:p>
    <w:p w14:paraId="0C23B0EA" w14:textId="77777777" w:rsidR="004662B6" w:rsidRPr="004662B6" w:rsidRDefault="004662B6" w:rsidP="004662B6">
      <w:pPr>
        <w:pStyle w:val="Heading2"/>
      </w:pPr>
      <w:r>
        <w:t>Context</w:t>
      </w:r>
    </w:p>
    <w:p w14:paraId="5046AE6A" w14:textId="662C781A" w:rsidR="003326FA" w:rsidRPr="003326FA" w:rsidRDefault="003326FA" w:rsidP="00A63B42">
      <w:pPr>
        <w:rPr>
          <w:rFonts w:ascii="Times New Roman" w:hAnsi="Times New Roman" w:cs="Times New Roman"/>
          <w:sz w:val="24"/>
          <w:szCs w:val="24"/>
        </w:rPr>
      </w:pPr>
      <w:r w:rsidRPr="003326FA">
        <w:t>Twenty-one per</w:t>
      </w:r>
      <w:r w:rsidR="000362B1">
        <w:t xml:space="preserve"> </w:t>
      </w:r>
      <w:r w:rsidRPr="003326FA">
        <w:t xml:space="preserve">cent of English homes are flats.  </w:t>
      </w:r>
      <w:r w:rsidR="00011AE4">
        <w:t>F</w:t>
      </w:r>
      <w:r w:rsidRPr="003326FA">
        <w:t xml:space="preserve">lats are being </w:t>
      </w:r>
      <w:r w:rsidR="003841DF">
        <w:t>refurbished</w:t>
      </w:r>
      <w:r w:rsidRPr="003326FA">
        <w:t xml:space="preserve"> with insulat</w:t>
      </w:r>
      <w:r w:rsidR="003841DF">
        <w:t xml:space="preserve">ion and double glazing at a </w:t>
      </w:r>
      <w:r w:rsidR="00503E59">
        <w:t xml:space="preserve">far </w:t>
      </w:r>
      <w:r w:rsidRPr="003326FA">
        <w:t xml:space="preserve">slower rate than </w:t>
      </w:r>
      <w:r w:rsidR="00011AE4">
        <w:t>houses</w:t>
      </w:r>
      <w:r w:rsidR="00302432">
        <w:t>. Considering homes built before 1980</w:t>
      </w:r>
      <w:r w:rsidR="00302432">
        <w:rPr>
          <w:rStyle w:val="FootnoteReference"/>
        </w:rPr>
        <w:footnoteReference w:id="2"/>
      </w:r>
      <w:r w:rsidR="00302432">
        <w:t>:</w:t>
      </w:r>
    </w:p>
    <w:tbl>
      <w:tblPr>
        <w:tblW w:w="8931" w:type="dxa"/>
        <w:tblCellMar>
          <w:left w:w="0" w:type="dxa"/>
          <w:right w:w="0" w:type="dxa"/>
        </w:tblCellMar>
        <w:tblLook w:val="04A0" w:firstRow="1" w:lastRow="0" w:firstColumn="1" w:lastColumn="0" w:noHBand="0" w:noVBand="1"/>
      </w:tblPr>
      <w:tblGrid>
        <w:gridCol w:w="5100"/>
        <w:gridCol w:w="1988"/>
        <w:gridCol w:w="1843"/>
      </w:tblGrid>
      <w:tr w:rsidR="003326FA" w:rsidRPr="003326FA" w14:paraId="7147670A" w14:textId="77777777" w:rsidTr="000D45FB">
        <w:trPr>
          <w:trHeight w:val="381"/>
        </w:trPr>
        <w:tc>
          <w:tcPr>
            <w:tcW w:w="5100" w:type="dxa"/>
            <w:shd w:val="clear" w:color="auto" w:fill="5B9BD5"/>
            <w:vAlign w:val="center"/>
            <w:hideMark/>
          </w:tcPr>
          <w:p w14:paraId="429DF532" w14:textId="77777777" w:rsidR="003326FA" w:rsidRPr="003326FA" w:rsidRDefault="003326FA" w:rsidP="00A63B42">
            <w:r w:rsidRPr="003326FA">
              <w:t> </w:t>
            </w:r>
            <w:r w:rsidRPr="003326FA">
              <w:rPr>
                <w:rFonts w:ascii="Calibri" w:hAnsi="Calibri"/>
                <w:color w:val="FFFFFF"/>
              </w:rPr>
              <w:t> </w:t>
            </w:r>
          </w:p>
        </w:tc>
        <w:tc>
          <w:tcPr>
            <w:tcW w:w="1988" w:type="dxa"/>
            <w:shd w:val="clear" w:color="auto" w:fill="5B9BD5"/>
            <w:vAlign w:val="center"/>
            <w:hideMark/>
          </w:tcPr>
          <w:p w14:paraId="40D44D17" w14:textId="77777777" w:rsidR="003326FA" w:rsidRPr="003326FA" w:rsidRDefault="003326FA" w:rsidP="00302432">
            <w:pPr>
              <w:jc w:val="right"/>
              <w:rPr>
                <w:rFonts w:ascii="Times New Roman" w:hAnsi="Times New Roman"/>
                <w:sz w:val="24"/>
                <w:szCs w:val="24"/>
              </w:rPr>
            </w:pPr>
            <w:r w:rsidRPr="003326FA">
              <w:t>Pre-1980</w:t>
            </w:r>
            <w:r w:rsidR="00302432">
              <w:t xml:space="preserve"> </w:t>
            </w:r>
            <w:r w:rsidRPr="003326FA">
              <w:t>house</w:t>
            </w:r>
            <w:r w:rsidR="00302432">
              <w:t>s</w:t>
            </w:r>
          </w:p>
        </w:tc>
        <w:tc>
          <w:tcPr>
            <w:tcW w:w="1843" w:type="dxa"/>
            <w:shd w:val="clear" w:color="auto" w:fill="5B9BD5"/>
            <w:vAlign w:val="center"/>
            <w:hideMark/>
          </w:tcPr>
          <w:p w14:paraId="2B9E4199" w14:textId="77777777" w:rsidR="003326FA" w:rsidRPr="003326FA" w:rsidRDefault="003326FA" w:rsidP="000D45FB">
            <w:pPr>
              <w:jc w:val="right"/>
              <w:rPr>
                <w:rFonts w:ascii="Times New Roman" w:hAnsi="Times New Roman"/>
                <w:sz w:val="24"/>
                <w:szCs w:val="24"/>
              </w:rPr>
            </w:pPr>
            <w:r w:rsidRPr="003326FA">
              <w:t>Pre-1980 flats</w:t>
            </w:r>
          </w:p>
        </w:tc>
      </w:tr>
      <w:tr w:rsidR="00A63B42" w:rsidRPr="003326FA" w14:paraId="0EC89AAE" w14:textId="77777777" w:rsidTr="000D45FB">
        <w:trPr>
          <w:trHeight w:val="445"/>
        </w:trPr>
        <w:tc>
          <w:tcPr>
            <w:tcW w:w="5100" w:type="dxa"/>
            <w:shd w:val="clear" w:color="auto" w:fill="AEAAAA" w:themeFill="background2" w:themeFillShade="BF"/>
            <w:vAlign w:val="center"/>
            <w:hideMark/>
          </w:tcPr>
          <w:p w14:paraId="5B48F061" w14:textId="77777777" w:rsidR="003326FA" w:rsidRPr="003326FA" w:rsidRDefault="003326FA" w:rsidP="00A63B42">
            <w:pPr>
              <w:rPr>
                <w:rFonts w:ascii="Times New Roman" w:hAnsi="Times New Roman"/>
                <w:sz w:val="24"/>
                <w:szCs w:val="24"/>
              </w:rPr>
            </w:pPr>
            <w:r w:rsidRPr="003326FA">
              <w:t>No loft insulation (percentage of top-floor flats only)</w:t>
            </w:r>
          </w:p>
        </w:tc>
        <w:tc>
          <w:tcPr>
            <w:tcW w:w="1988" w:type="dxa"/>
            <w:shd w:val="clear" w:color="auto" w:fill="AEAAAA" w:themeFill="background2" w:themeFillShade="BF"/>
            <w:vAlign w:val="center"/>
            <w:hideMark/>
          </w:tcPr>
          <w:p w14:paraId="183A9BEC" w14:textId="77777777" w:rsidR="003326FA" w:rsidRPr="003326FA" w:rsidRDefault="003326FA" w:rsidP="000D45FB">
            <w:pPr>
              <w:jc w:val="right"/>
              <w:rPr>
                <w:rFonts w:ascii="Times New Roman" w:hAnsi="Times New Roman"/>
                <w:sz w:val="24"/>
                <w:szCs w:val="24"/>
              </w:rPr>
            </w:pPr>
            <w:r w:rsidRPr="003326FA">
              <w:t>4.3%</w:t>
            </w:r>
          </w:p>
        </w:tc>
        <w:tc>
          <w:tcPr>
            <w:tcW w:w="1843" w:type="dxa"/>
            <w:shd w:val="clear" w:color="auto" w:fill="AEAAAA" w:themeFill="background2" w:themeFillShade="BF"/>
            <w:vAlign w:val="center"/>
            <w:hideMark/>
          </w:tcPr>
          <w:p w14:paraId="1B7C68AE" w14:textId="77777777" w:rsidR="003326FA" w:rsidRPr="003326FA" w:rsidRDefault="003326FA" w:rsidP="000D45FB">
            <w:pPr>
              <w:jc w:val="right"/>
              <w:rPr>
                <w:rFonts w:ascii="Times New Roman" w:hAnsi="Times New Roman"/>
                <w:sz w:val="24"/>
                <w:szCs w:val="24"/>
              </w:rPr>
            </w:pPr>
            <w:r w:rsidRPr="003326FA">
              <w:t>17.9%</w:t>
            </w:r>
          </w:p>
        </w:tc>
      </w:tr>
      <w:tr w:rsidR="00A63B42" w:rsidRPr="003326FA" w14:paraId="3600376D" w14:textId="77777777" w:rsidTr="000D45FB">
        <w:trPr>
          <w:trHeight w:val="367"/>
        </w:trPr>
        <w:tc>
          <w:tcPr>
            <w:tcW w:w="5100" w:type="dxa"/>
            <w:shd w:val="clear" w:color="auto" w:fill="D0CECE" w:themeFill="background2" w:themeFillShade="E6"/>
            <w:vAlign w:val="center"/>
            <w:hideMark/>
          </w:tcPr>
          <w:p w14:paraId="40E2B2EB" w14:textId="77777777" w:rsidR="003326FA" w:rsidRPr="003326FA" w:rsidRDefault="003326FA" w:rsidP="00C1331C">
            <w:pPr>
              <w:rPr>
                <w:rFonts w:ascii="Times New Roman" w:hAnsi="Times New Roman"/>
                <w:sz w:val="24"/>
                <w:szCs w:val="24"/>
              </w:rPr>
            </w:pPr>
            <w:r w:rsidRPr="003326FA">
              <w:t>No double</w:t>
            </w:r>
            <w:r w:rsidR="00C1331C">
              <w:t xml:space="preserve"> </w:t>
            </w:r>
            <w:r w:rsidRPr="003326FA">
              <w:t>glazing (all flats)</w:t>
            </w:r>
          </w:p>
        </w:tc>
        <w:tc>
          <w:tcPr>
            <w:tcW w:w="1988" w:type="dxa"/>
            <w:shd w:val="clear" w:color="auto" w:fill="D0CECE" w:themeFill="background2" w:themeFillShade="E6"/>
            <w:vAlign w:val="center"/>
            <w:hideMark/>
          </w:tcPr>
          <w:p w14:paraId="53F6B391" w14:textId="77777777" w:rsidR="003326FA" w:rsidRPr="003326FA" w:rsidRDefault="003326FA" w:rsidP="000D45FB">
            <w:pPr>
              <w:jc w:val="right"/>
              <w:rPr>
                <w:rFonts w:ascii="Times New Roman" w:hAnsi="Times New Roman"/>
                <w:sz w:val="24"/>
                <w:szCs w:val="24"/>
              </w:rPr>
            </w:pPr>
            <w:r w:rsidRPr="003326FA">
              <w:t>4.3%</w:t>
            </w:r>
          </w:p>
        </w:tc>
        <w:tc>
          <w:tcPr>
            <w:tcW w:w="1843" w:type="dxa"/>
            <w:shd w:val="clear" w:color="auto" w:fill="D0CECE" w:themeFill="background2" w:themeFillShade="E6"/>
            <w:vAlign w:val="center"/>
            <w:hideMark/>
          </w:tcPr>
          <w:p w14:paraId="3A53A57B" w14:textId="77777777" w:rsidR="003326FA" w:rsidRPr="003326FA" w:rsidRDefault="003326FA" w:rsidP="000D45FB">
            <w:pPr>
              <w:jc w:val="right"/>
              <w:rPr>
                <w:rFonts w:ascii="Times New Roman" w:hAnsi="Times New Roman"/>
                <w:sz w:val="24"/>
                <w:szCs w:val="24"/>
              </w:rPr>
            </w:pPr>
            <w:r w:rsidRPr="003326FA">
              <w:t>14.5%</w:t>
            </w:r>
          </w:p>
        </w:tc>
      </w:tr>
      <w:tr w:rsidR="00A63B42" w:rsidRPr="003326FA" w14:paraId="17D0A0C4" w14:textId="77777777" w:rsidTr="000D45FB">
        <w:trPr>
          <w:trHeight w:val="302"/>
        </w:trPr>
        <w:tc>
          <w:tcPr>
            <w:tcW w:w="5100" w:type="dxa"/>
            <w:shd w:val="clear" w:color="auto" w:fill="AEAAAA" w:themeFill="background2" w:themeFillShade="BF"/>
            <w:vAlign w:val="center"/>
            <w:hideMark/>
          </w:tcPr>
          <w:p w14:paraId="415B1EF9" w14:textId="77777777" w:rsidR="003326FA" w:rsidRPr="003326FA" w:rsidRDefault="003326FA" w:rsidP="00A63B42">
            <w:pPr>
              <w:rPr>
                <w:rFonts w:ascii="Times New Roman" w:hAnsi="Times New Roman"/>
                <w:sz w:val="24"/>
                <w:szCs w:val="24"/>
              </w:rPr>
            </w:pPr>
            <w:r w:rsidRPr="003326FA">
              <w:t>Uninsulated cavity walls (cavity walled homes only)</w:t>
            </w:r>
          </w:p>
        </w:tc>
        <w:tc>
          <w:tcPr>
            <w:tcW w:w="1988" w:type="dxa"/>
            <w:shd w:val="clear" w:color="auto" w:fill="AEAAAA" w:themeFill="background2" w:themeFillShade="BF"/>
            <w:vAlign w:val="center"/>
            <w:hideMark/>
          </w:tcPr>
          <w:p w14:paraId="5FC01025" w14:textId="77777777" w:rsidR="003326FA" w:rsidRPr="003326FA" w:rsidRDefault="003326FA" w:rsidP="000D45FB">
            <w:pPr>
              <w:jc w:val="right"/>
              <w:rPr>
                <w:rFonts w:ascii="Times New Roman" w:hAnsi="Times New Roman"/>
                <w:sz w:val="24"/>
                <w:szCs w:val="24"/>
              </w:rPr>
            </w:pPr>
            <w:r w:rsidRPr="003326FA">
              <w:t>33.8%</w:t>
            </w:r>
          </w:p>
        </w:tc>
        <w:tc>
          <w:tcPr>
            <w:tcW w:w="1843" w:type="dxa"/>
            <w:shd w:val="clear" w:color="auto" w:fill="AEAAAA" w:themeFill="background2" w:themeFillShade="BF"/>
            <w:vAlign w:val="center"/>
            <w:hideMark/>
          </w:tcPr>
          <w:p w14:paraId="6638458A" w14:textId="77777777" w:rsidR="003326FA" w:rsidRPr="003326FA" w:rsidRDefault="003326FA" w:rsidP="000D45FB">
            <w:pPr>
              <w:jc w:val="right"/>
              <w:rPr>
                <w:rFonts w:ascii="Times New Roman" w:hAnsi="Times New Roman"/>
                <w:sz w:val="24"/>
                <w:szCs w:val="24"/>
              </w:rPr>
            </w:pPr>
            <w:r w:rsidRPr="003326FA">
              <w:t>50.1%</w:t>
            </w:r>
          </w:p>
        </w:tc>
      </w:tr>
    </w:tbl>
    <w:p w14:paraId="39B44CAE" w14:textId="77777777" w:rsidR="00FC4400" w:rsidRDefault="000D45FB" w:rsidP="00A63B42">
      <w:r>
        <w:br/>
      </w:r>
      <w:r w:rsidR="00C1331C">
        <w:t>One in every 8 top floor flat (of all age</w:t>
      </w:r>
      <w:r w:rsidR="00302432">
        <w:t>s) has no loft insulation at all</w:t>
      </w:r>
      <w:r w:rsidR="00B704BA">
        <w:t>.</w:t>
      </w:r>
      <w:r w:rsidR="00C1331C">
        <w:t xml:space="preserve">  </w:t>
      </w:r>
      <w:r w:rsidR="003326FA" w:rsidRPr="003326FA">
        <w:t>The oldest flats - notably those in converted houses - are the least energy efficient homes in the housing stock, posing a significa</w:t>
      </w:r>
      <w:r w:rsidR="003841DF">
        <w:t>nt health risk to residents: 26%</w:t>
      </w:r>
      <w:r w:rsidR="003326FA" w:rsidRPr="000D45FB">
        <w:t xml:space="preserve"> </w:t>
      </w:r>
      <w:r w:rsidR="003326FA" w:rsidRPr="003326FA">
        <w:t xml:space="preserve">of flats in converted flats have a serious </w:t>
      </w:r>
      <w:r w:rsidR="00D15F25">
        <w:t>health and safety hazard, with </w:t>
      </w:r>
      <w:r w:rsidR="003326FA" w:rsidRPr="003326FA">
        <w:t>"serious excess cold risk" (at 11%) being m</w:t>
      </w:r>
      <w:r w:rsidR="004662B6">
        <w:t>ore than twice as prevalent as</w:t>
      </w:r>
      <w:r w:rsidR="003326FA" w:rsidRPr="003326FA">
        <w:t xml:space="preserve"> in the rest of the stock.</w:t>
      </w:r>
    </w:p>
    <w:p w14:paraId="54EE8201" w14:textId="19CC8AAE" w:rsidR="00114C64" w:rsidRDefault="00C1331C" w:rsidP="00A63B42">
      <w:r>
        <w:t>This is a</w:t>
      </w:r>
      <w:r w:rsidR="00503E59">
        <w:t xml:space="preserve"> problem t</w:t>
      </w:r>
      <w:r w:rsidR="002A0628">
        <w:t xml:space="preserve">hat will need to be overcome </w:t>
      </w:r>
      <w:r w:rsidR="00503E59">
        <w:t xml:space="preserve">if the Government is to achieve its </w:t>
      </w:r>
      <w:r w:rsidR="00343E06">
        <w:t xml:space="preserve">energy-saving and </w:t>
      </w:r>
      <w:r w:rsidR="00D15F25">
        <w:t xml:space="preserve">fuel poverty </w:t>
      </w:r>
      <w:r w:rsidR="004662B6">
        <w:t>targets</w:t>
      </w:r>
      <w:r>
        <w:t xml:space="preserve">: 23% of </w:t>
      </w:r>
      <w:r w:rsidR="00B704BA">
        <w:t xml:space="preserve">the remaining </w:t>
      </w:r>
      <w:r w:rsidR="00302432">
        <w:t>uninsulated cavity wall homes are</w:t>
      </w:r>
      <w:r>
        <w:t xml:space="preserve"> flats and 26% of the remaining totally uninsulated lofts</w:t>
      </w:r>
      <w:r w:rsidR="00B704BA">
        <w:t>.</w:t>
      </w:r>
      <w:r w:rsidR="002A0628" w:rsidRPr="002A0628">
        <w:rPr>
          <w:rStyle w:val="FootnoteReference"/>
        </w:rPr>
        <w:t xml:space="preserve"> </w:t>
      </w:r>
      <w:r w:rsidR="002A0628">
        <w:rPr>
          <w:rStyle w:val="FootnoteReference"/>
        </w:rPr>
        <w:footnoteReference w:id="3"/>
      </w:r>
      <w:r w:rsidR="002A0628">
        <w:t xml:space="preserve"> </w:t>
      </w:r>
    </w:p>
    <w:p w14:paraId="5CFE558D" w14:textId="77777777" w:rsidR="003326FA" w:rsidRPr="00A63B42" w:rsidRDefault="003326FA" w:rsidP="00FC4400">
      <w:pPr>
        <w:pStyle w:val="Heading2"/>
      </w:pPr>
      <w:r w:rsidRPr="00A63B42">
        <w:lastRenderedPageBreak/>
        <w:t>Making energy improvements in blocks of flats</w:t>
      </w:r>
    </w:p>
    <w:p w14:paraId="091FD0D7" w14:textId="32451307" w:rsidR="003326FA" w:rsidRPr="00A63B42" w:rsidRDefault="00503E59" w:rsidP="003E1F51">
      <w:pPr>
        <w:rPr>
          <w:rFonts w:ascii="Symbol" w:hAnsi="Symbol" w:cs="Times New Roman"/>
          <w:sz w:val="24"/>
          <w:szCs w:val="24"/>
        </w:rPr>
      </w:pPr>
      <w:r>
        <w:t xml:space="preserve">A significant contributor to </w:t>
      </w:r>
      <w:r w:rsidR="003841DF">
        <w:t xml:space="preserve">the low rate of refurbishment in flats is the </w:t>
      </w:r>
      <w:r>
        <w:t>fact</w:t>
      </w:r>
      <w:r w:rsidR="003841DF">
        <w:t xml:space="preserve"> that </w:t>
      </w:r>
      <w:r>
        <w:t xml:space="preserve">a </w:t>
      </w:r>
      <w:r w:rsidR="003326FA" w:rsidRPr="003326FA">
        <w:t>large number of different parties can have a title to - or responsibility for - any given block: landlords, leaseholders, short-term tenants, mortgagees and management companies.  </w:t>
      </w:r>
      <w:r w:rsidR="000362B1">
        <w:t>T</w:t>
      </w:r>
      <w:r w:rsidR="003326FA" w:rsidRPr="003326FA">
        <w:t>he current system</w:t>
      </w:r>
      <w:r w:rsidR="000362B1">
        <w:t xml:space="preserve"> makes </w:t>
      </w:r>
      <w:r w:rsidR="003326FA" w:rsidRPr="003326FA">
        <w:t>it very difficult for these parties to reach agreement practically and lawfully for energy improvement works to proceed</w:t>
      </w:r>
      <w:r w:rsidR="00343E06">
        <w:t>, even where all the parties would like to go ahead</w:t>
      </w:r>
      <w:r w:rsidR="003326FA" w:rsidRPr="003326FA">
        <w:t>.</w:t>
      </w:r>
      <w:r w:rsidR="003841DF">
        <w:t xml:space="preserve"> </w:t>
      </w:r>
    </w:p>
    <w:p w14:paraId="2F90E369" w14:textId="02F51C21" w:rsidR="003326FA" w:rsidRPr="003326FA" w:rsidRDefault="003326FA" w:rsidP="00A63B42">
      <w:pPr>
        <w:rPr>
          <w:rFonts w:ascii="Times New Roman" w:hAnsi="Times New Roman" w:cs="Times New Roman"/>
          <w:sz w:val="24"/>
          <w:szCs w:val="24"/>
        </w:rPr>
      </w:pPr>
      <w:r w:rsidRPr="003326FA">
        <w:t>These problems</w:t>
      </w:r>
      <w:r w:rsidR="00FF26AB">
        <w:t xml:space="preserve"> – which are explained in more detail below – hinder </w:t>
      </w:r>
      <w:r w:rsidRPr="003326FA">
        <w:t xml:space="preserve">installations of insulation and heating upgrades </w:t>
      </w:r>
      <w:r w:rsidR="002D5820">
        <w:t>to</w:t>
      </w:r>
      <w:r w:rsidRPr="003326FA">
        <w:t xml:space="preserve"> communal parts of blocks of flat</w:t>
      </w:r>
      <w:r w:rsidR="003841DF">
        <w:t>s.</w:t>
      </w:r>
      <w:r w:rsidR="004434F1">
        <w:t xml:space="preserve"> </w:t>
      </w:r>
      <w:r w:rsidR="00343E06">
        <w:t>They</w:t>
      </w:r>
      <w:r w:rsidR="003841DF">
        <w:t xml:space="preserve"> can</w:t>
      </w:r>
      <w:r w:rsidR="004434F1">
        <w:t xml:space="preserve"> also</w:t>
      </w:r>
      <w:r w:rsidR="003841DF">
        <w:t xml:space="preserve"> </w:t>
      </w:r>
      <w:r w:rsidR="00343E06">
        <w:t xml:space="preserve">prevent the </w:t>
      </w:r>
      <w:r w:rsidR="003841DF">
        <w:t>installation</w:t>
      </w:r>
      <w:r w:rsidRPr="003326FA">
        <w:t xml:space="preserve"> of condensing boilers (where holes need to be knocked into walls)</w:t>
      </w:r>
      <w:r w:rsidR="004434F1">
        <w:t xml:space="preserve"> and</w:t>
      </w:r>
      <w:r w:rsidRPr="003326FA">
        <w:t xml:space="preserve"> efforts to bring electrically heated blocks of flats on</w:t>
      </w:r>
      <w:r w:rsidR="004434F1">
        <w:t xml:space="preserve"> </w:t>
      </w:r>
      <w:r w:rsidRPr="003326FA">
        <w:t>to the gas grid</w:t>
      </w:r>
      <w:r w:rsidR="002D5820">
        <w:t xml:space="preserve"> </w:t>
      </w:r>
      <w:r w:rsidRPr="003326FA">
        <w:t xml:space="preserve">and </w:t>
      </w:r>
      <w:r w:rsidR="00D914F1">
        <w:t>to</w:t>
      </w:r>
      <w:r w:rsidRPr="003326FA">
        <w:t xml:space="preserve"> retrofit </w:t>
      </w:r>
      <w:r w:rsidR="00B90B2F">
        <w:t>district heating to flat blocks (many flats are heated with very expensiv</w:t>
      </w:r>
      <w:r w:rsidR="00D55FA3">
        <w:t>e old electric heating systems – this is particularly expensive for households in flats which are also poorly insulated).</w:t>
      </w:r>
    </w:p>
    <w:p w14:paraId="5F84D74C" w14:textId="5F6ED59C" w:rsidR="00A63B42" w:rsidRDefault="00667A19" w:rsidP="00667A19">
      <w:pPr>
        <w:pStyle w:val="Heading1"/>
      </w:pPr>
      <w:r>
        <w:t>Our proposed solution</w:t>
      </w:r>
      <w:r w:rsidR="000C0789">
        <w:t>s</w:t>
      </w:r>
    </w:p>
    <w:p w14:paraId="6A861C0C" w14:textId="583AB000" w:rsidR="00343E06" w:rsidRDefault="00343E06" w:rsidP="00A63B42">
      <w:r>
        <w:t xml:space="preserve">In September 2015, leading lawyers, academics, local authorities and energy efficiency practitioners came </w:t>
      </w:r>
      <w:r w:rsidR="003326FA" w:rsidRPr="003326FA">
        <w:t xml:space="preserve">together to </w:t>
      </w:r>
      <w:r>
        <w:t xml:space="preserve">develop </w:t>
      </w:r>
      <w:r w:rsidR="003326FA" w:rsidRPr="003326FA">
        <w:t>possible solutions in this area</w:t>
      </w:r>
      <w:r w:rsidR="003326FA" w:rsidRPr="00B92D93">
        <w:t xml:space="preserve">. </w:t>
      </w:r>
      <w:r w:rsidR="008604C6">
        <w:t>We have since discussed these with DECC and DCLG civil servants</w:t>
      </w:r>
      <w:r>
        <w:t>,</w:t>
      </w:r>
      <w:r w:rsidR="008604C6">
        <w:t xml:space="preserve"> who raised no objection in principle to our proposals.</w:t>
      </w:r>
    </w:p>
    <w:p w14:paraId="0738A2FF" w14:textId="4C0974B7" w:rsidR="00D55FA3" w:rsidRDefault="00B90B2F" w:rsidP="003E1F51">
      <w:r>
        <w:t xml:space="preserve">This paper focuses on two solutions that we propose can </w:t>
      </w:r>
      <w:r w:rsidR="00D55FA3">
        <w:t xml:space="preserve">be effectively taken forward through the mechanism of </w:t>
      </w:r>
      <w:r>
        <w:t>a</w:t>
      </w:r>
      <w:r w:rsidR="006C0B3B">
        <w:t xml:space="preserve"> </w:t>
      </w:r>
      <w:r w:rsidR="006F2466">
        <w:t xml:space="preserve">Private Member’s </w:t>
      </w:r>
      <w:r>
        <w:t>Bill</w:t>
      </w:r>
      <w:r w:rsidR="00D55FA3">
        <w:t>:</w:t>
      </w:r>
    </w:p>
    <w:p w14:paraId="7B2FB791" w14:textId="77777777" w:rsidR="000C0789" w:rsidRPr="00733798" w:rsidRDefault="008604C6" w:rsidP="000C0789">
      <w:pPr>
        <w:pStyle w:val="Heading3"/>
        <w:spacing w:before="200"/>
      </w:pPr>
      <w:r>
        <w:t xml:space="preserve">Solution 1: </w:t>
      </w:r>
      <w:r w:rsidR="000C0789">
        <w:t>Freeholders’ r</w:t>
      </w:r>
      <w:r w:rsidR="000C0789" w:rsidRPr="00B6402D">
        <w:t>ight to recover the cost of qualifying</w:t>
      </w:r>
      <w:r w:rsidR="000C0789">
        <w:t xml:space="preserve"> energy efficiency</w:t>
      </w:r>
      <w:r w:rsidR="000C0789" w:rsidRPr="00B6402D">
        <w:t xml:space="preserve"> improvements to residential leasehold premises</w:t>
      </w:r>
    </w:p>
    <w:p w14:paraId="09D91FD7" w14:textId="24542CF3" w:rsidR="000C0789" w:rsidRDefault="00343E06" w:rsidP="003E1F51">
      <w:pPr>
        <w:spacing w:before="0" w:line="259" w:lineRule="auto"/>
      </w:pPr>
      <w:r>
        <w:t xml:space="preserve">Currently, leases limit what works freeholders can do to the building – and the charges they can incur – on behalf of leaseholders. </w:t>
      </w:r>
      <w:r w:rsidR="002C1ECF" w:rsidRPr="002C1ECF">
        <w:t>The majority of leases do not permit freeholders to recover the cost of improvements. As the installation of energy efficiency measures, e.g. insulation, will generally involve improvement, the freeholder will not carry out such work</w:t>
      </w:r>
      <w:r>
        <w:t>.</w:t>
      </w:r>
    </w:p>
    <w:p w14:paraId="305A485D" w14:textId="1EEDE7E7" w:rsidR="00FF26AB" w:rsidRDefault="00F124DA" w:rsidP="003E1F51">
      <w:pPr>
        <w:spacing w:before="0" w:line="259" w:lineRule="auto"/>
      </w:pPr>
      <w:r>
        <w:t>Section 2</w:t>
      </w:r>
      <w:r w:rsidR="006F2466">
        <w:t xml:space="preserve"> of our Bill</w:t>
      </w:r>
      <w:r w:rsidR="000C0789">
        <w:t xml:space="preserve"> would overcome this problem by allowing the freeholder of a building (who is already allo</w:t>
      </w:r>
      <w:r w:rsidR="00FF26AB">
        <w:t xml:space="preserve">wed under the terms of the existing </w:t>
      </w:r>
      <w:r w:rsidR="000C0789">
        <w:t xml:space="preserve">lease to recover the costs of repair and maintenance) to undertake </w:t>
      </w:r>
      <w:r w:rsidR="001251A3">
        <w:t xml:space="preserve">and recover the costs of </w:t>
      </w:r>
      <w:r w:rsidR="000C0789">
        <w:t>‘qualifying energy efficiency improvements’ from the leaseholder.</w:t>
      </w:r>
    </w:p>
    <w:p w14:paraId="40C3BB33" w14:textId="5F8CC9D4" w:rsidR="00FF26AB" w:rsidRDefault="00FF26AB" w:rsidP="00FF26AB">
      <w:r>
        <w:t>We are suggesting that these qualifying improvements should include:</w:t>
      </w:r>
    </w:p>
    <w:p w14:paraId="2FF15C95" w14:textId="77777777" w:rsidR="00FF26AB" w:rsidRDefault="00FF26AB" w:rsidP="00FF26AB">
      <w:pPr>
        <w:pStyle w:val="ListParagraph"/>
        <w:numPr>
          <w:ilvl w:val="0"/>
          <w:numId w:val="2"/>
        </w:numPr>
      </w:pPr>
      <w:r>
        <w:t>Basic energy efficiency measures</w:t>
      </w:r>
      <w:proofErr w:type="gramStart"/>
      <w:r>
        <w:t>:-</w:t>
      </w:r>
      <w:proofErr w:type="gramEnd"/>
      <w:r>
        <w:t xml:space="preserve"> cavity wall insulation; loft insulation.</w:t>
      </w:r>
    </w:p>
    <w:p w14:paraId="59799DCA" w14:textId="363E47AE" w:rsidR="00FF26AB" w:rsidRDefault="00FF26AB" w:rsidP="00FF26AB">
      <w:pPr>
        <w:pStyle w:val="ListParagraph"/>
        <w:numPr>
          <w:ilvl w:val="0"/>
          <w:numId w:val="2"/>
        </w:numPr>
      </w:pPr>
      <w:r>
        <w:t xml:space="preserve">Any improvements required to bring flats in the block out of the lowest </w:t>
      </w:r>
      <w:r w:rsidR="00D914F1">
        <w:t xml:space="preserve">(F and G) </w:t>
      </w:r>
      <w:r>
        <w:t xml:space="preserve">energy efficiency ratings or to alleviate a Category 1 </w:t>
      </w:r>
      <w:r w:rsidR="001251A3">
        <w:t>[</w:t>
      </w:r>
      <w:r>
        <w:t>‘excess cold’</w:t>
      </w:r>
      <w:r w:rsidR="001251A3">
        <w:t>]</w:t>
      </w:r>
      <w:r>
        <w:t xml:space="preserve"> hazard;</w:t>
      </w:r>
    </w:p>
    <w:p w14:paraId="29A72A2C" w14:textId="77777777" w:rsidR="00FF26AB" w:rsidRDefault="00FF26AB" w:rsidP="00FF26AB">
      <w:pPr>
        <w:pStyle w:val="ListParagraph"/>
        <w:numPr>
          <w:ilvl w:val="0"/>
          <w:numId w:val="2"/>
        </w:numPr>
      </w:pPr>
      <w:r>
        <w:t>Any measures that meet a cost-effectiveness threshold and/or can be funded through grants.</w:t>
      </w:r>
    </w:p>
    <w:p w14:paraId="468812CD" w14:textId="04542042" w:rsidR="000C0789" w:rsidRDefault="00FF26AB" w:rsidP="003E1F51">
      <w:r w:rsidRPr="003326FA">
        <w:t xml:space="preserve">There may of course be good reasons for a block of flats not to install </w:t>
      </w:r>
      <w:r>
        <w:t xml:space="preserve">certain </w:t>
      </w:r>
      <w:r w:rsidR="00D914F1">
        <w:t>‘</w:t>
      </w:r>
      <w:r w:rsidRPr="003326FA">
        <w:t>qualifying improvements</w:t>
      </w:r>
      <w:r w:rsidR="00D914F1">
        <w:t>’</w:t>
      </w:r>
      <w:r w:rsidRPr="003326FA">
        <w:t xml:space="preserve"> – high costs, aesthetic concerns</w:t>
      </w:r>
      <w:r>
        <w:t>, disruption</w:t>
      </w:r>
      <w:r w:rsidRPr="003326FA">
        <w:t xml:space="preserve"> or where leases are about to expire. In these cases, the Landlord and Tenant Act 1985 already includes various forms of protection for leaseholders that provide that the costs must have been reasonably incurred and the freeholder must undertake a consultation exercise with the leaseholders</w:t>
      </w:r>
      <w:r w:rsidRPr="00B92D93">
        <w:t>.</w:t>
      </w:r>
    </w:p>
    <w:p w14:paraId="22D1C217" w14:textId="6C06CBC7" w:rsidR="00D55FA3" w:rsidRDefault="006F2466" w:rsidP="003E1F51">
      <w:r>
        <w:t>Our Bill</w:t>
      </w:r>
      <w:r w:rsidR="00FF26AB">
        <w:t xml:space="preserve"> is a close parallel t</w:t>
      </w:r>
      <w:r w:rsidR="00D55FA3">
        <w:t xml:space="preserve">o </w:t>
      </w:r>
      <w:r w:rsidR="00FF26AB">
        <w:t xml:space="preserve">the </w:t>
      </w:r>
      <w:r w:rsidR="00DD7B82">
        <w:t xml:space="preserve">legislation that was </w:t>
      </w:r>
      <w:r w:rsidR="008604C6">
        <w:t>successfully</w:t>
      </w:r>
      <w:r w:rsidR="00D55FA3">
        <w:t xml:space="preserve"> introduced in Scotland</w:t>
      </w:r>
      <w:r w:rsidR="00F3042B">
        <w:t xml:space="preserve"> in 2009</w:t>
      </w:r>
      <w:r w:rsidR="00F3042B">
        <w:rPr>
          <w:rStyle w:val="FootnoteReference"/>
        </w:rPr>
        <w:footnoteReference w:id="4"/>
      </w:r>
      <w:r w:rsidR="00F3042B">
        <w:t>.</w:t>
      </w:r>
    </w:p>
    <w:p w14:paraId="5F830710" w14:textId="27B59FA6" w:rsidR="00FF26AB" w:rsidRDefault="00FF26AB" w:rsidP="003E1F51">
      <w:pPr>
        <w:spacing w:before="0" w:line="259" w:lineRule="auto"/>
        <w:rPr>
          <w:rFonts w:asciiTheme="majorHAnsi" w:eastAsiaTheme="majorEastAsia" w:hAnsiTheme="majorHAnsi" w:cstheme="majorBidi"/>
          <w:color w:val="1F4D78" w:themeColor="accent1" w:themeShade="7F"/>
          <w:sz w:val="24"/>
          <w:szCs w:val="24"/>
        </w:rPr>
      </w:pPr>
      <w:r w:rsidRPr="00866E98">
        <w:rPr>
          <w:rFonts w:asciiTheme="majorHAnsi" w:eastAsiaTheme="majorEastAsia" w:hAnsiTheme="majorHAnsi" w:cstheme="majorBidi"/>
          <w:color w:val="1F4D78" w:themeColor="accent1" w:themeShade="7F"/>
          <w:sz w:val="24"/>
          <w:szCs w:val="24"/>
        </w:rPr>
        <w:lastRenderedPageBreak/>
        <w:t>Solution 2: legislating to make it easier for individual leaseholders to carry out improvement works inside their flats</w:t>
      </w:r>
      <w:r>
        <w:rPr>
          <w:rFonts w:asciiTheme="majorHAnsi" w:eastAsiaTheme="majorEastAsia" w:hAnsiTheme="majorHAnsi" w:cstheme="majorBidi"/>
          <w:color w:val="1F4D78" w:themeColor="accent1" w:themeShade="7F"/>
          <w:sz w:val="24"/>
          <w:szCs w:val="24"/>
        </w:rPr>
        <w:t>.</w:t>
      </w:r>
    </w:p>
    <w:p w14:paraId="6D70278D" w14:textId="77777777" w:rsidR="000011EA" w:rsidRDefault="00FF26AB" w:rsidP="00FF26AB">
      <w:pPr>
        <w:shd w:val="clear" w:color="auto" w:fill="FFFFFF"/>
        <w:spacing w:before="0"/>
      </w:pPr>
      <w:r>
        <w:t>Currently,</w:t>
      </w:r>
      <w:r w:rsidR="000011EA">
        <w:t xml:space="preserve"> leases limit what changes leaseholders can make to the building, even within their own flats.</w:t>
      </w:r>
    </w:p>
    <w:p w14:paraId="744B42B3" w14:textId="08793500" w:rsidR="000011EA" w:rsidRDefault="00F124DA" w:rsidP="00FF26AB">
      <w:pPr>
        <w:shd w:val="clear" w:color="auto" w:fill="FFFFFF"/>
        <w:spacing w:before="0"/>
      </w:pPr>
      <w:r>
        <w:t>Section 3</w:t>
      </w:r>
      <w:r w:rsidR="006F2466">
        <w:t xml:space="preserve"> of our Bill</w:t>
      </w:r>
      <w:r w:rsidR="000011EA">
        <w:t xml:space="preserve"> would overcome this problem by allowing leaseholders to install improvements in their own flat unless the freeholder can demonstrate that to do so will harm the building, its value, or impact negatively on other leaseholders</w:t>
      </w:r>
      <w:r w:rsidR="000011EA">
        <w:rPr>
          <w:rStyle w:val="FootnoteReference"/>
        </w:rPr>
        <w:footnoteReference w:id="5"/>
      </w:r>
      <w:r w:rsidR="000011EA">
        <w:t>.</w:t>
      </w:r>
    </w:p>
    <w:p w14:paraId="646ACD6B" w14:textId="3809A668" w:rsidR="00FF26AB" w:rsidRDefault="000011EA" w:rsidP="00FF26AB">
      <w:pPr>
        <w:shd w:val="clear" w:color="auto" w:fill="FFFFFF"/>
        <w:spacing w:before="0"/>
      </w:pPr>
      <w:r>
        <w:t xml:space="preserve">It would apply to cases </w:t>
      </w:r>
      <w:r w:rsidR="00FF26AB">
        <w:t xml:space="preserve">where a covenant </w:t>
      </w:r>
      <w:r>
        <w:t xml:space="preserve">in a long lease </w:t>
      </w:r>
      <w:r w:rsidR="00FF26AB">
        <w:t>prohibits a leaseholder from making alterations, additions or improvements</w:t>
      </w:r>
      <w:r>
        <w:t>,</w:t>
      </w:r>
      <w:r w:rsidR="00FF26AB">
        <w:t xml:space="preserve"> either absolutely or without the consent of the landlord.   </w:t>
      </w:r>
      <w:r w:rsidR="00F124DA">
        <w:t>Section 3</w:t>
      </w:r>
      <w:r>
        <w:t xml:space="preserve"> would restrict such </w:t>
      </w:r>
      <w:r w:rsidR="00FF26AB">
        <w:t>covenants</w:t>
      </w:r>
      <w:r>
        <w:t xml:space="preserve">, such </w:t>
      </w:r>
      <w:r w:rsidR="00FF26AB" w:rsidRPr="00990CE9">
        <w:t>that</w:t>
      </w:r>
      <w:r>
        <w:t>,</w:t>
      </w:r>
      <w:r w:rsidR="00FF26AB" w:rsidRPr="00990CE9">
        <w:t xml:space="preserve"> where the work is an energy efficiency measure</w:t>
      </w:r>
      <w:r>
        <w:t>,</w:t>
      </w:r>
      <w:r w:rsidR="00FF26AB" w:rsidRPr="00990CE9">
        <w:t xml:space="preserve"> </w:t>
      </w:r>
      <w:r>
        <w:t>the landlord cannot unreasonably withhold or delay his consent.</w:t>
      </w:r>
    </w:p>
    <w:p w14:paraId="57AE3502" w14:textId="08DCABD5" w:rsidR="000011EA" w:rsidRDefault="000011EA" w:rsidP="00FF26AB">
      <w:pPr>
        <w:shd w:val="clear" w:color="auto" w:fill="FFFFFF"/>
        <w:spacing w:before="0"/>
      </w:pPr>
      <w:r>
        <w:t>This builds on the principle established in the 2011 Energy Act that landlords and freeholders should not unreasonably withhold consent for energy efficiency improvements.  It would extend the principle to apply to all leasehold properties, not just – as is currently the case –</w:t>
      </w:r>
      <w:r w:rsidR="00D914F1">
        <w:t xml:space="preserve"> to prope</w:t>
      </w:r>
      <w:r>
        <w:t>rties let under an assured shorthold tenancy.  It wo</w:t>
      </w:r>
      <w:r w:rsidR="002F018C">
        <w:t xml:space="preserve">uld remove blanket prohibitions on alterations in leases that can make it impossible for freeholders to give consent for energy efficiency works.  </w:t>
      </w:r>
    </w:p>
    <w:p w14:paraId="4537B728" w14:textId="3E89E529" w:rsidR="002F018C" w:rsidRPr="00990CE9" w:rsidRDefault="002F018C" w:rsidP="00FF26AB">
      <w:pPr>
        <w:shd w:val="clear" w:color="auto" w:fill="FFFFFF"/>
        <w:spacing w:before="0"/>
      </w:pPr>
      <w:r>
        <w:t>This proposal would also remove a barrier to the achievement of the minimum energy efficiency standard (of Energy Performance Certificate Band E) that will be required for privately rented properties from April 2018.</w:t>
      </w:r>
      <w:r>
        <w:rPr>
          <w:rStyle w:val="FootnoteReference"/>
        </w:rPr>
        <w:footnoteReference w:id="6"/>
      </w:r>
      <w:r>
        <w:t xml:space="preserve">  Currently a blanket prohibition on alterations in a lease would represent reasonable grounds for the landlord not to undertake the necessary works.</w:t>
      </w:r>
    </w:p>
    <w:p w14:paraId="615647B1" w14:textId="24A93973" w:rsidR="003326FA" w:rsidRPr="00A448F2" w:rsidRDefault="003326FA" w:rsidP="00667A19">
      <w:pPr>
        <w:spacing w:before="0" w:line="259" w:lineRule="auto"/>
        <w:jc w:val="center"/>
        <w:rPr>
          <w:rFonts w:ascii="Times New Roman" w:hAnsi="Times New Roman" w:cs="Times New Roman"/>
          <w:i/>
          <w:sz w:val="24"/>
          <w:szCs w:val="24"/>
          <w:u w:val="single"/>
        </w:rPr>
      </w:pPr>
      <w:r w:rsidRPr="00A448F2">
        <w:rPr>
          <w:i/>
          <w:u w:val="single"/>
        </w:rPr>
        <w:t>For more information:</w:t>
      </w:r>
      <w:r w:rsidRPr="00A448F2">
        <w:rPr>
          <w:i/>
          <w:sz w:val="24"/>
          <w:szCs w:val="24"/>
          <w:u w:val="single"/>
        </w:rPr>
        <w:t xml:space="preserve"> </w:t>
      </w:r>
      <w:r w:rsidR="004B5414">
        <w:rPr>
          <w:i/>
          <w:u w:val="single"/>
        </w:rPr>
        <w:t>jenn</w:t>
      </w:r>
      <w:r w:rsidR="00EE0EE4">
        <w:rPr>
          <w:i/>
          <w:u w:val="single"/>
        </w:rPr>
        <w:t>y</w:t>
      </w:r>
      <w:r w:rsidR="004B5414">
        <w:rPr>
          <w:i/>
          <w:u w:val="single"/>
        </w:rPr>
        <w:t>@ukace.org</w:t>
      </w:r>
    </w:p>
    <w:p w14:paraId="46093A6D" w14:textId="1B31EA4A" w:rsidR="00667A19" w:rsidRDefault="00667A19">
      <w:pPr>
        <w:spacing w:before="0" w:line="259" w:lineRule="auto"/>
      </w:pPr>
      <w:r>
        <w:br w:type="page"/>
      </w:r>
    </w:p>
    <w:p w14:paraId="4BF27C50" w14:textId="05F6E3BB" w:rsidR="002F018C" w:rsidRDefault="00667A19" w:rsidP="00667A19">
      <w:r>
        <w:lastRenderedPageBreak/>
        <w:t>AP</w:t>
      </w:r>
      <w:r w:rsidR="000A5594">
        <w:t>PENDIX 1:</w:t>
      </w:r>
    </w:p>
    <w:p w14:paraId="5506A6BD" w14:textId="77777777" w:rsidR="000A5594" w:rsidRDefault="000A5594" w:rsidP="00667A19"/>
    <w:p w14:paraId="24951297" w14:textId="70561F35" w:rsidR="000A5594" w:rsidRDefault="000A5594" w:rsidP="00667A19">
      <w:pPr>
        <w:rPr>
          <w:rFonts w:cs="Courier"/>
          <w:b/>
        </w:rPr>
      </w:pPr>
      <w:r>
        <w:rPr>
          <w:rFonts w:cs="Courier"/>
          <w:b/>
        </w:rPr>
        <w:t>Text of LEASEHOLD REFORM (ENERGY EFFICIENCY) BILL</w:t>
      </w:r>
    </w:p>
    <w:p w14:paraId="32F8343C" w14:textId="77777777" w:rsidR="000A5594" w:rsidRPr="000A5594" w:rsidRDefault="000A5594" w:rsidP="00667A19">
      <w:pPr>
        <w:rPr>
          <w:rFonts w:cs="Courier"/>
          <w:b/>
        </w:rPr>
      </w:pPr>
    </w:p>
    <w:p w14:paraId="43AF30CB" w14:textId="208C6C5B" w:rsidR="002F018C" w:rsidRPr="003E3531" w:rsidRDefault="00667A19" w:rsidP="003E3531">
      <w:pPr>
        <w:pStyle w:val="ListParagraph"/>
        <w:numPr>
          <w:ilvl w:val="0"/>
          <w:numId w:val="22"/>
        </w:numPr>
        <w:rPr>
          <w:b/>
          <w:bCs/>
        </w:rPr>
      </w:pPr>
      <w:r w:rsidRPr="003E3531">
        <w:rPr>
          <w:b/>
          <w:bCs/>
        </w:rPr>
        <w:t>Definitions</w:t>
      </w:r>
    </w:p>
    <w:p w14:paraId="03694C4B" w14:textId="77777777" w:rsidR="002F018C" w:rsidRDefault="002F018C" w:rsidP="003E1F51">
      <w:pPr>
        <w:pStyle w:val="ListParagraph"/>
        <w:rPr>
          <w:b/>
          <w:bCs/>
        </w:rPr>
      </w:pPr>
    </w:p>
    <w:p w14:paraId="7F3D923E" w14:textId="7912D982" w:rsidR="00667A19" w:rsidRDefault="00667A19" w:rsidP="004B5414">
      <w:pPr>
        <w:numPr>
          <w:ilvl w:val="0"/>
          <w:numId w:val="13"/>
        </w:numPr>
        <w:autoSpaceDE w:val="0"/>
        <w:autoSpaceDN w:val="0"/>
        <w:adjustRightInd w:val="0"/>
        <w:spacing w:before="0" w:after="200"/>
        <w:ind w:left="595" w:hanging="357"/>
        <w:rPr>
          <w:bCs/>
        </w:rPr>
      </w:pPr>
      <w:r w:rsidRPr="002F018C">
        <w:rPr>
          <w:bCs/>
        </w:rPr>
        <w:t>The following definitions apply to the sections of this Act set out below.</w:t>
      </w:r>
    </w:p>
    <w:p w14:paraId="09FDA527" w14:textId="5CB7D7C3" w:rsidR="00667A19" w:rsidRDefault="00667A19" w:rsidP="004B5414">
      <w:pPr>
        <w:numPr>
          <w:ilvl w:val="0"/>
          <w:numId w:val="13"/>
        </w:numPr>
        <w:autoSpaceDE w:val="0"/>
        <w:autoSpaceDN w:val="0"/>
        <w:adjustRightInd w:val="0"/>
        <w:spacing w:before="0" w:after="200"/>
        <w:ind w:left="595" w:hanging="357"/>
        <w:rPr>
          <w:bCs/>
        </w:rPr>
      </w:pPr>
      <w:r w:rsidRPr="002F018C">
        <w:rPr>
          <w:bCs/>
        </w:rPr>
        <w:t>"</w:t>
      </w:r>
      <w:r w:rsidR="001251A3">
        <w:rPr>
          <w:bCs/>
        </w:rPr>
        <w:t xml:space="preserve">Long </w:t>
      </w:r>
      <w:r w:rsidRPr="002F018C">
        <w:rPr>
          <w:bCs/>
        </w:rPr>
        <w:t>Lease" means any long tenancy, whether made before or after the commencement of this Act, of a dwelling-house within the meaning of Section 2(4) of Part 1 of the Landlord and Tenant Act 1954</w:t>
      </w:r>
    </w:p>
    <w:p w14:paraId="68A68A29" w14:textId="77777777" w:rsidR="00667A19" w:rsidRDefault="00667A19" w:rsidP="004B5414">
      <w:pPr>
        <w:numPr>
          <w:ilvl w:val="0"/>
          <w:numId w:val="13"/>
        </w:numPr>
        <w:autoSpaceDE w:val="0"/>
        <w:autoSpaceDN w:val="0"/>
        <w:adjustRightInd w:val="0"/>
        <w:spacing w:before="0" w:after="200"/>
        <w:ind w:left="595" w:hanging="357"/>
        <w:rPr>
          <w:bCs/>
        </w:rPr>
      </w:pPr>
      <w:r>
        <w:rPr>
          <w:bCs/>
        </w:rPr>
        <w:t xml:space="preserve">"Building" means a building comprising one or more </w:t>
      </w:r>
      <w:proofErr w:type="spellStart"/>
      <w:r>
        <w:rPr>
          <w:bCs/>
        </w:rPr>
        <w:t>dwellinghouses</w:t>
      </w:r>
      <w:proofErr w:type="spellEnd"/>
      <w:r>
        <w:rPr>
          <w:bCs/>
        </w:rPr>
        <w:t>.</w:t>
      </w:r>
    </w:p>
    <w:p w14:paraId="5C1927E9" w14:textId="77777777" w:rsidR="00667A19" w:rsidRDefault="00667A19" w:rsidP="004B5414">
      <w:pPr>
        <w:numPr>
          <w:ilvl w:val="0"/>
          <w:numId w:val="13"/>
        </w:numPr>
        <w:autoSpaceDE w:val="0"/>
        <w:autoSpaceDN w:val="0"/>
        <w:adjustRightInd w:val="0"/>
        <w:spacing w:before="0" w:after="200"/>
        <w:ind w:left="595" w:hanging="357"/>
        <w:rPr>
          <w:bCs/>
        </w:rPr>
      </w:pPr>
      <w:r>
        <w:rPr>
          <w:bCs/>
        </w:rPr>
        <w:t>"Dwelling-house" means a dwelling-house within the meaning of Section 45(1) of the Landlord and Tenant Act 1988</w:t>
      </w:r>
    </w:p>
    <w:p w14:paraId="0D9AB408" w14:textId="77777777" w:rsidR="00667A19" w:rsidRDefault="00667A19" w:rsidP="004B5414">
      <w:pPr>
        <w:numPr>
          <w:ilvl w:val="0"/>
          <w:numId w:val="13"/>
        </w:numPr>
        <w:autoSpaceDE w:val="0"/>
        <w:autoSpaceDN w:val="0"/>
        <w:adjustRightInd w:val="0"/>
        <w:spacing w:before="0" w:after="200"/>
        <w:ind w:left="595" w:hanging="357"/>
        <w:rPr>
          <w:bCs/>
        </w:rPr>
      </w:pPr>
      <w:r>
        <w:rPr>
          <w:bCs/>
        </w:rPr>
        <w:t>"Qualifying improvement" means any one or more of the following:</w:t>
      </w:r>
    </w:p>
    <w:p w14:paraId="322891F2" w14:textId="77777777" w:rsidR="00667A19" w:rsidRPr="00DD273C" w:rsidRDefault="00667A19" w:rsidP="00667A19">
      <w:pPr>
        <w:pStyle w:val="ListParagraph"/>
        <w:numPr>
          <w:ilvl w:val="0"/>
          <w:numId w:val="9"/>
        </w:numPr>
      </w:pPr>
      <w:r>
        <w:t xml:space="preserve">Basic </w:t>
      </w:r>
      <w:r w:rsidRPr="00DD273C">
        <w:t>energy efficiency measures</w:t>
      </w:r>
      <w:r>
        <w:t>.</w:t>
      </w:r>
    </w:p>
    <w:p w14:paraId="5973BB2B" w14:textId="77777777" w:rsidR="00667A19" w:rsidRDefault="00667A19" w:rsidP="00667A19">
      <w:pPr>
        <w:pStyle w:val="ListParagraph"/>
        <w:ind w:left="1320"/>
      </w:pPr>
    </w:p>
    <w:p w14:paraId="47E051B0" w14:textId="1E6451D8" w:rsidR="00667A19" w:rsidRDefault="00667A19" w:rsidP="00667A19">
      <w:pPr>
        <w:pStyle w:val="ListParagraph"/>
        <w:numPr>
          <w:ilvl w:val="0"/>
          <w:numId w:val="9"/>
        </w:numPr>
      </w:pPr>
      <w:r w:rsidRPr="00DD273C">
        <w:t xml:space="preserve">Any improvements required to </w:t>
      </w:r>
      <w:r>
        <w:t xml:space="preserve">improve the Energy Performance Certificate rating for </w:t>
      </w:r>
      <w:proofErr w:type="spellStart"/>
      <w:r>
        <w:t>dwellinghouses</w:t>
      </w:r>
      <w:proofErr w:type="spellEnd"/>
      <w:r>
        <w:t xml:space="preserve"> </w:t>
      </w:r>
      <w:r w:rsidRPr="00DD273C">
        <w:t xml:space="preserve">in the </w:t>
      </w:r>
      <w:r>
        <w:t xml:space="preserve">Building from band F or </w:t>
      </w:r>
      <w:r w:rsidRPr="00DD273C">
        <w:t xml:space="preserve">G or </w:t>
      </w:r>
      <w:r w:rsidR="001251A3">
        <w:t xml:space="preserve">any improvement to windows, heating </w:t>
      </w:r>
      <w:r w:rsidR="00AC69C3">
        <w:t xml:space="preserve">systems </w:t>
      </w:r>
      <w:r w:rsidR="001251A3">
        <w:t xml:space="preserve">or insulation </w:t>
      </w:r>
      <w:r w:rsidRPr="00DD273C">
        <w:t>t</w:t>
      </w:r>
      <w:r w:rsidR="00AC69C3">
        <w:t>hat will</w:t>
      </w:r>
      <w:r w:rsidRPr="00DD273C">
        <w:t xml:space="preserve"> alleviate a Category 1</w:t>
      </w:r>
      <w:r w:rsidR="002C1ECF">
        <w:t xml:space="preserve"> </w:t>
      </w:r>
      <w:r w:rsidRPr="00DD273C">
        <w:t>hazard</w:t>
      </w:r>
      <w:r>
        <w:t xml:space="preserve"> (within t</w:t>
      </w:r>
      <w:r w:rsidR="002C1ECF">
        <w:t>he meaning the Housing Act 2004).</w:t>
      </w:r>
    </w:p>
    <w:p w14:paraId="03AAAA74" w14:textId="77777777" w:rsidR="00667A19" w:rsidRDefault="00667A19" w:rsidP="00667A19">
      <w:pPr>
        <w:pStyle w:val="ListParagraph"/>
      </w:pPr>
    </w:p>
    <w:p w14:paraId="4559CBA1" w14:textId="05165DAB" w:rsidR="00667A19" w:rsidRPr="00DD273C" w:rsidRDefault="00667A19" w:rsidP="00667A19">
      <w:pPr>
        <w:pStyle w:val="ListParagraph"/>
        <w:numPr>
          <w:ilvl w:val="0"/>
          <w:numId w:val="9"/>
        </w:numPr>
      </w:pPr>
      <w:r>
        <w:t xml:space="preserve">Any measures that </w:t>
      </w:r>
      <w:r w:rsidR="00013EFF">
        <w:t xml:space="preserve">either </w:t>
      </w:r>
      <w:r>
        <w:t xml:space="preserve">meet the </w:t>
      </w:r>
      <w:r w:rsidRPr="00DD273C">
        <w:t xml:space="preserve">cost-effectiveness threshold </w:t>
      </w:r>
      <w:r>
        <w:t>or can be funded through grants</w:t>
      </w:r>
      <w:r w:rsidR="00013EFF">
        <w:t>.</w:t>
      </w:r>
      <w:r>
        <w:t xml:space="preserve"> </w:t>
      </w:r>
    </w:p>
    <w:p w14:paraId="266E4F6D" w14:textId="77777777" w:rsidR="00667A19" w:rsidRDefault="00667A19" w:rsidP="004412FE">
      <w:pPr>
        <w:numPr>
          <w:ilvl w:val="0"/>
          <w:numId w:val="13"/>
        </w:numPr>
        <w:autoSpaceDE w:val="0"/>
        <w:autoSpaceDN w:val="0"/>
        <w:adjustRightInd w:val="0"/>
        <w:spacing w:before="0" w:after="200"/>
        <w:ind w:left="595" w:hanging="357"/>
        <w:rPr>
          <w:bCs/>
        </w:rPr>
      </w:pPr>
      <w:r>
        <w:rPr>
          <w:bCs/>
        </w:rPr>
        <w:t>"Basic energy efficiency measures" means cavity wall insulation and/or loft insulation.</w:t>
      </w:r>
    </w:p>
    <w:p w14:paraId="52A74DA6" w14:textId="39C8BA2B" w:rsidR="00667A19" w:rsidRDefault="00667A19" w:rsidP="004412FE">
      <w:pPr>
        <w:numPr>
          <w:ilvl w:val="0"/>
          <w:numId w:val="13"/>
        </w:numPr>
        <w:autoSpaceDE w:val="0"/>
        <w:autoSpaceDN w:val="0"/>
        <w:adjustRightInd w:val="0"/>
        <w:spacing w:before="0" w:after="200"/>
        <w:ind w:left="595" w:hanging="357"/>
        <w:rPr>
          <w:bCs/>
        </w:rPr>
      </w:pPr>
      <w:r>
        <w:rPr>
          <w:bCs/>
        </w:rPr>
        <w:t>"</w:t>
      </w:r>
      <w:r w:rsidRPr="0010553C">
        <w:rPr>
          <w:bCs/>
        </w:rPr>
        <w:t>Energy Performance Certificate" means an energy performance certificate within the meaning of the Energy Performance of Buildings (England and Wales) Regulations 2012.</w:t>
      </w:r>
    </w:p>
    <w:p w14:paraId="5790F2E1" w14:textId="54F73796" w:rsidR="00013EFF" w:rsidRDefault="0071488F" w:rsidP="004412FE">
      <w:pPr>
        <w:numPr>
          <w:ilvl w:val="0"/>
          <w:numId w:val="13"/>
        </w:numPr>
        <w:autoSpaceDE w:val="0"/>
        <w:autoSpaceDN w:val="0"/>
        <w:adjustRightInd w:val="0"/>
        <w:spacing w:before="0" w:after="200"/>
        <w:ind w:left="595" w:hanging="357"/>
        <w:rPr>
          <w:bCs/>
        </w:rPr>
      </w:pPr>
      <w:r>
        <w:rPr>
          <w:bCs/>
        </w:rPr>
        <w:t>"Cost-</w:t>
      </w:r>
      <w:r w:rsidR="00013EFF">
        <w:rPr>
          <w:bCs/>
        </w:rPr>
        <w:t xml:space="preserve">effectiveness threshold" shall have the meaning ascribed to it </w:t>
      </w:r>
      <w:r w:rsidR="00013EFF">
        <w:t>by the Secretary of State for Communities and Local Government in regulations.</w:t>
      </w:r>
    </w:p>
    <w:p w14:paraId="70EA3DD5" w14:textId="79FC1F3F" w:rsidR="00667A19" w:rsidRPr="0010553C" w:rsidRDefault="00667A19" w:rsidP="004412FE">
      <w:pPr>
        <w:numPr>
          <w:ilvl w:val="0"/>
          <w:numId w:val="13"/>
        </w:numPr>
        <w:autoSpaceDE w:val="0"/>
        <w:autoSpaceDN w:val="0"/>
        <w:adjustRightInd w:val="0"/>
        <w:spacing w:before="0" w:after="200"/>
        <w:ind w:left="595" w:hanging="357"/>
        <w:rPr>
          <w:bCs/>
        </w:rPr>
      </w:pPr>
      <w:r w:rsidRPr="0010553C">
        <w:rPr>
          <w:bCs/>
        </w:rPr>
        <w:t>"Landlord" includes any superior landlord</w:t>
      </w:r>
      <w:r w:rsidR="007E252C" w:rsidRPr="0010553C">
        <w:rPr>
          <w:bCs/>
        </w:rPr>
        <w:t xml:space="preserve"> or management company</w:t>
      </w:r>
      <w:r w:rsidRPr="0010553C">
        <w:rPr>
          <w:bCs/>
        </w:rPr>
        <w:t>.</w:t>
      </w:r>
    </w:p>
    <w:p w14:paraId="38315831" w14:textId="5A30E33B" w:rsidR="0010553C" w:rsidRPr="0010553C" w:rsidRDefault="004629B9" w:rsidP="004412FE">
      <w:pPr>
        <w:numPr>
          <w:ilvl w:val="0"/>
          <w:numId w:val="13"/>
        </w:numPr>
        <w:autoSpaceDE w:val="0"/>
        <w:autoSpaceDN w:val="0"/>
        <w:adjustRightInd w:val="0"/>
        <w:spacing w:before="0" w:after="200"/>
        <w:ind w:left="595" w:hanging="357"/>
        <w:rPr>
          <w:bCs/>
        </w:rPr>
      </w:pPr>
      <w:r w:rsidRPr="0010553C">
        <w:rPr>
          <w:bCs/>
        </w:rPr>
        <w:t>“E</w:t>
      </w:r>
      <w:r w:rsidR="00780033" w:rsidRPr="0010553C">
        <w:rPr>
          <w:bCs/>
        </w:rPr>
        <w:t xml:space="preserve">nergy efficiency </w:t>
      </w:r>
      <w:r w:rsidRPr="0010553C">
        <w:rPr>
          <w:bCs/>
        </w:rPr>
        <w:t>improvement</w:t>
      </w:r>
      <w:r w:rsidR="004412FE">
        <w:rPr>
          <w:bCs/>
        </w:rPr>
        <w:t>(</w:t>
      </w:r>
      <w:r w:rsidR="000B1F0F" w:rsidRPr="0010553C">
        <w:rPr>
          <w:bCs/>
        </w:rPr>
        <w:t>s</w:t>
      </w:r>
      <w:r w:rsidR="004412FE">
        <w:rPr>
          <w:bCs/>
        </w:rPr>
        <w:t>)</w:t>
      </w:r>
      <w:r w:rsidRPr="0010553C">
        <w:rPr>
          <w:bCs/>
        </w:rPr>
        <w:t>”</w:t>
      </w:r>
      <w:r w:rsidR="00780033" w:rsidRPr="0010553C">
        <w:rPr>
          <w:bCs/>
        </w:rPr>
        <w:t xml:space="preserve"> </w:t>
      </w:r>
      <w:r w:rsidR="000B1F0F" w:rsidRPr="0010553C">
        <w:rPr>
          <w:bCs/>
        </w:rPr>
        <w:t xml:space="preserve">has the meaning given within Section 2 of </w:t>
      </w:r>
      <w:r w:rsidR="004412FE">
        <w:rPr>
          <w:bCs/>
        </w:rPr>
        <w:t>the Energy Act 2011 and may include</w:t>
      </w:r>
      <w:r w:rsidR="000B1F0F" w:rsidRPr="0010553C">
        <w:rPr>
          <w:bCs/>
        </w:rPr>
        <w:t xml:space="preserve"> but is not limited to:</w:t>
      </w:r>
    </w:p>
    <w:p w14:paraId="4E951052" w14:textId="0895BEA8" w:rsidR="004412FE" w:rsidRPr="004412FE" w:rsidRDefault="004412FE" w:rsidP="004412FE">
      <w:pPr>
        <w:pStyle w:val="ListParagraph"/>
        <w:numPr>
          <w:ilvl w:val="0"/>
          <w:numId w:val="17"/>
        </w:numPr>
        <w:spacing w:before="0" w:after="200"/>
        <w:ind w:left="1321"/>
        <w:contextualSpacing w:val="0"/>
      </w:pPr>
      <w:r>
        <w:t>I</w:t>
      </w:r>
      <w:r w:rsidR="00780033" w:rsidRPr="004412FE">
        <w:t xml:space="preserve">nstallation </w:t>
      </w:r>
      <w:r w:rsidR="00073ADF" w:rsidRPr="004412FE">
        <w:t xml:space="preserve">or replacement </w:t>
      </w:r>
      <w:r w:rsidR="00780033" w:rsidRPr="004412FE">
        <w:t>of insulation</w:t>
      </w:r>
      <w:r w:rsidR="00073ADF" w:rsidRPr="004412FE">
        <w:t xml:space="preserve"> of any type;</w:t>
      </w:r>
      <w:r w:rsidR="00780033" w:rsidRPr="004412FE">
        <w:t xml:space="preserve"> </w:t>
      </w:r>
    </w:p>
    <w:p w14:paraId="48C4FDF6" w14:textId="2E6DBD1B" w:rsidR="0010553C" w:rsidRPr="004412FE" w:rsidRDefault="004412FE" w:rsidP="004412FE">
      <w:pPr>
        <w:pStyle w:val="ListParagraph"/>
        <w:numPr>
          <w:ilvl w:val="0"/>
          <w:numId w:val="17"/>
        </w:numPr>
        <w:spacing w:before="0" w:after="200"/>
        <w:ind w:left="1321"/>
        <w:contextualSpacing w:val="0"/>
      </w:pPr>
      <w:r>
        <w:t>R</w:t>
      </w:r>
      <w:r w:rsidR="00780033" w:rsidRPr="004412FE">
        <w:t xml:space="preserve">eplacement of </w:t>
      </w:r>
      <w:r w:rsidR="00073ADF" w:rsidRPr="004412FE">
        <w:t>windows</w:t>
      </w:r>
      <w:r w:rsidR="004629B9" w:rsidRPr="004412FE">
        <w:t xml:space="preserve"> or any element of a window unit</w:t>
      </w:r>
      <w:r w:rsidRPr="004412FE">
        <w:t xml:space="preserve"> or </w:t>
      </w:r>
      <w:r w:rsidR="00780033" w:rsidRPr="004412FE">
        <w:t>in</w:t>
      </w:r>
      <w:r w:rsidR="00073ADF" w:rsidRPr="004412FE">
        <w:t>stallation of secondary glazing;</w:t>
      </w:r>
      <w:r w:rsidR="00780033" w:rsidRPr="004412FE">
        <w:t xml:space="preserve"> </w:t>
      </w:r>
    </w:p>
    <w:p w14:paraId="6E3A1042" w14:textId="48C82EE9" w:rsidR="0010553C" w:rsidRPr="004412FE" w:rsidRDefault="004412FE" w:rsidP="004412FE">
      <w:pPr>
        <w:pStyle w:val="ListParagraph"/>
        <w:numPr>
          <w:ilvl w:val="0"/>
          <w:numId w:val="17"/>
        </w:numPr>
        <w:spacing w:before="0" w:after="200"/>
        <w:ind w:left="1321"/>
        <w:contextualSpacing w:val="0"/>
      </w:pPr>
      <w:r>
        <w:t>I</w:t>
      </w:r>
      <w:r w:rsidR="004B5414">
        <w:t xml:space="preserve">nstallation of </w:t>
      </w:r>
      <w:r w:rsidR="00780033" w:rsidRPr="004412FE">
        <w:t>replacement heating</w:t>
      </w:r>
      <w:r w:rsidR="004B5414">
        <w:t xml:space="preserve"> or cooling</w:t>
      </w:r>
      <w:r w:rsidRPr="004412FE">
        <w:t xml:space="preserve"> </w:t>
      </w:r>
      <w:r w:rsidR="00073ADF" w:rsidRPr="004412FE">
        <w:t xml:space="preserve">units, components or </w:t>
      </w:r>
      <w:r w:rsidR="00780033" w:rsidRPr="004412FE">
        <w:t>system</w:t>
      </w:r>
      <w:r w:rsidR="00073ADF" w:rsidRPr="004412FE">
        <w:t>s</w:t>
      </w:r>
      <w:r w:rsidR="0010553C" w:rsidRPr="004412FE">
        <w:t>;</w:t>
      </w:r>
    </w:p>
    <w:p w14:paraId="5847B9C8" w14:textId="6916B53B" w:rsidR="00780033" w:rsidRPr="004412FE" w:rsidRDefault="004412FE" w:rsidP="004412FE">
      <w:pPr>
        <w:pStyle w:val="ListParagraph"/>
        <w:numPr>
          <w:ilvl w:val="0"/>
          <w:numId w:val="17"/>
        </w:numPr>
        <w:spacing w:before="0" w:after="200"/>
        <w:ind w:left="1321"/>
        <w:contextualSpacing w:val="0"/>
      </w:pPr>
      <w:r>
        <w:t>I</w:t>
      </w:r>
      <w:r w:rsidR="00780033" w:rsidRPr="004412FE">
        <w:t>nstallation of systems to enable control or manage</w:t>
      </w:r>
      <w:r w:rsidR="004629B9" w:rsidRPr="004412FE">
        <w:t>ment of energy use in the home</w:t>
      </w:r>
      <w:r w:rsidRPr="004412FE">
        <w:t>.</w:t>
      </w:r>
    </w:p>
    <w:p w14:paraId="6FFDBBC8" w14:textId="77777777" w:rsidR="004412FE" w:rsidRPr="0010553C" w:rsidRDefault="004412FE" w:rsidP="004412FE">
      <w:pPr>
        <w:autoSpaceDE w:val="0"/>
        <w:autoSpaceDN w:val="0"/>
        <w:adjustRightInd w:val="0"/>
        <w:spacing w:before="0" w:after="0"/>
        <w:ind w:left="1320"/>
        <w:rPr>
          <w:bCs/>
        </w:rPr>
      </w:pPr>
    </w:p>
    <w:p w14:paraId="051D2BC9" w14:textId="1F5C0531" w:rsidR="00667A19" w:rsidRDefault="00667A19" w:rsidP="003E3531">
      <w:pPr>
        <w:pStyle w:val="ListParagraph"/>
        <w:numPr>
          <w:ilvl w:val="0"/>
          <w:numId w:val="22"/>
        </w:numPr>
        <w:spacing w:before="0" w:after="200"/>
        <w:rPr>
          <w:b/>
          <w:bCs/>
        </w:rPr>
      </w:pPr>
      <w:r w:rsidRPr="003E3531">
        <w:rPr>
          <w:b/>
          <w:bCs/>
        </w:rPr>
        <w:t>Right to recover the cost of qualifying improvements to residential leasehold premises</w:t>
      </w:r>
    </w:p>
    <w:p w14:paraId="4828CEC1" w14:textId="77777777" w:rsidR="003E3531" w:rsidRPr="003E3531" w:rsidRDefault="003E3531" w:rsidP="003E3531">
      <w:pPr>
        <w:pStyle w:val="ListParagraph"/>
        <w:spacing w:before="0" w:after="200"/>
        <w:rPr>
          <w:b/>
          <w:bCs/>
        </w:rPr>
      </w:pPr>
    </w:p>
    <w:p w14:paraId="3FA21DD6" w14:textId="6090A47E" w:rsidR="0010553C" w:rsidRDefault="00667A19" w:rsidP="0010553C">
      <w:pPr>
        <w:pStyle w:val="ListParagraph"/>
        <w:numPr>
          <w:ilvl w:val="0"/>
          <w:numId w:val="16"/>
        </w:numPr>
        <w:spacing w:before="120"/>
        <w:ind w:left="567"/>
      </w:pPr>
      <w:r w:rsidRPr="0010553C">
        <w:lastRenderedPageBreak/>
        <w:t xml:space="preserve">This </w:t>
      </w:r>
      <w:r w:rsidR="00D914F1" w:rsidRPr="0010553C">
        <w:t>s</w:t>
      </w:r>
      <w:r w:rsidRPr="0010553C">
        <w:t xml:space="preserve">ection applies in any case where a </w:t>
      </w:r>
      <w:r w:rsidR="001251A3" w:rsidRPr="0010553C">
        <w:t xml:space="preserve">long </w:t>
      </w:r>
      <w:r w:rsidRPr="0010553C">
        <w:t xml:space="preserve">lease contains a covenant on the part of the landlord to maintain and/or repair the building. </w:t>
      </w:r>
    </w:p>
    <w:p w14:paraId="6E530670" w14:textId="77777777" w:rsidR="0010553C" w:rsidRDefault="0010553C" w:rsidP="0010553C">
      <w:pPr>
        <w:pStyle w:val="ListParagraph"/>
        <w:spacing w:before="120"/>
        <w:ind w:left="567"/>
      </w:pPr>
    </w:p>
    <w:p w14:paraId="32131E24" w14:textId="495F7687" w:rsidR="00667A19" w:rsidRPr="0010553C" w:rsidRDefault="00667A19" w:rsidP="0010553C">
      <w:pPr>
        <w:pStyle w:val="ListParagraph"/>
        <w:numPr>
          <w:ilvl w:val="0"/>
          <w:numId w:val="16"/>
        </w:numPr>
        <w:spacing w:before="120"/>
        <w:ind w:left="567"/>
      </w:pPr>
      <w:r w:rsidRPr="0010553C">
        <w:t xml:space="preserve">In any such </w:t>
      </w:r>
      <w:r w:rsidR="001251A3" w:rsidRPr="0010553C">
        <w:t xml:space="preserve">long </w:t>
      </w:r>
      <w:r w:rsidRPr="0010553C">
        <w:t xml:space="preserve">lease, any provision which entitles the landlord to recover the cost of maintaining and/or repairing the building shall, notwithstanding any express provision to the contrary, be deemed to include the cost of undertaking qualifying improvements to the building provided that nothing in this </w:t>
      </w:r>
      <w:r w:rsidR="00D914F1" w:rsidRPr="0010553C">
        <w:t>subs</w:t>
      </w:r>
      <w:r w:rsidRPr="0010553C">
        <w:t xml:space="preserve">ection will create any separate obligation on the part of the Landlord to undertake qualifying improvements. </w:t>
      </w:r>
    </w:p>
    <w:p w14:paraId="3F50B097" w14:textId="77777777" w:rsidR="002F018C" w:rsidRDefault="002F018C" w:rsidP="003E1F51">
      <w:pPr>
        <w:autoSpaceDE w:val="0"/>
        <w:autoSpaceDN w:val="0"/>
        <w:adjustRightInd w:val="0"/>
        <w:spacing w:before="0" w:after="0"/>
        <w:rPr>
          <w:bCs/>
        </w:rPr>
      </w:pPr>
    </w:p>
    <w:p w14:paraId="7749C73D" w14:textId="60E845A7" w:rsidR="00667A19" w:rsidRDefault="00667A19" w:rsidP="003E3531">
      <w:pPr>
        <w:pStyle w:val="ListParagraph"/>
        <w:numPr>
          <w:ilvl w:val="0"/>
          <w:numId w:val="22"/>
        </w:numPr>
        <w:spacing w:before="0" w:after="200"/>
        <w:rPr>
          <w:b/>
          <w:bCs/>
        </w:rPr>
      </w:pPr>
      <w:r w:rsidRPr="003E3531">
        <w:rPr>
          <w:b/>
          <w:bCs/>
        </w:rPr>
        <w:t xml:space="preserve">Qualified duty to consent to </w:t>
      </w:r>
      <w:r w:rsidR="004629B9" w:rsidRPr="003E3531">
        <w:rPr>
          <w:b/>
          <w:bCs/>
        </w:rPr>
        <w:t>energy efficiency improvements</w:t>
      </w:r>
      <w:r w:rsidRPr="003E3531">
        <w:rPr>
          <w:b/>
          <w:bCs/>
        </w:rPr>
        <w:t xml:space="preserve"> to residential leasehold premises</w:t>
      </w:r>
    </w:p>
    <w:p w14:paraId="5965CCFD" w14:textId="77777777" w:rsidR="003E3531" w:rsidRPr="003E3531" w:rsidRDefault="003E3531" w:rsidP="003E3531">
      <w:pPr>
        <w:pStyle w:val="ListParagraph"/>
        <w:spacing w:before="0" w:after="200"/>
        <w:rPr>
          <w:b/>
          <w:bCs/>
        </w:rPr>
      </w:pPr>
    </w:p>
    <w:p w14:paraId="3ADF5734" w14:textId="3175F854" w:rsidR="00667A19" w:rsidRDefault="00667A19" w:rsidP="004412FE">
      <w:pPr>
        <w:pStyle w:val="ListParagraph"/>
        <w:numPr>
          <w:ilvl w:val="0"/>
          <w:numId w:val="19"/>
        </w:numPr>
        <w:spacing w:before="0" w:after="200"/>
        <w:ind w:left="595" w:hanging="357"/>
        <w:contextualSpacing w:val="0"/>
      </w:pPr>
      <w:r>
        <w:t>This sec</w:t>
      </w:r>
      <w:r w:rsidR="002C1ECF">
        <w:t xml:space="preserve">tion applies in any case where </w:t>
      </w:r>
      <w:r>
        <w:t xml:space="preserve">the </w:t>
      </w:r>
      <w:r w:rsidR="001251A3">
        <w:t xml:space="preserve">long </w:t>
      </w:r>
      <w:r>
        <w:t>lease is subject to a covenant on the part of the tenant with a prohibition not to make any alterations, additions or improvements to the premises comprised in the lease and either:</w:t>
      </w:r>
    </w:p>
    <w:p w14:paraId="2521467A" w14:textId="75272262" w:rsidR="00667A19" w:rsidRDefault="00667A19" w:rsidP="004412FE">
      <w:pPr>
        <w:pStyle w:val="ListParagraph"/>
        <w:numPr>
          <w:ilvl w:val="0"/>
          <w:numId w:val="18"/>
        </w:numPr>
        <w:spacing w:before="0" w:after="200"/>
        <w:contextualSpacing w:val="0"/>
      </w:pPr>
      <w:r>
        <w:t>the prohibition is unqualified; or</w:t>
      </w:r>
    </w:p>
    <w:p w14:paraId="0142DFDD" w14:textId="7BD45B78" w:rsidR="00667A19" w:rsidRDefault="00667A19" w:rsidP="004412FE">
      <w:pPr>
        <w:pStyle w:val="ListParagraph"/>
        <w:numPr>
          <w:ilvl w:val="0"/>
          <w:numId w:val="18"/>
        </w:numPr>
        <w:spacing w:before="0" w:after="200"/>
        <w:contextualSpacing w:val="0"/>
      </w:pPr>
      <w:proofErr w:type="gramStart"/>
      <w:r>
        <w:t>the</w:t>
      </w:r>
      <w:proofErr w:type="gramEnd"/>
      <w:r>
        <w:t xml:space="preserve"> covenant is subject to a qualification the alteration and/or addition is subject to the consent of the landlord. </w:t>
      </w:r>
    </w:p>
    <w:p w14:paraId="02894A95" w14:textId="7D76F486" w:rsidR="00667A19" w:rsidRDefault="00667A19" w:rsidP="004412FE">
      <w:pPr>
        <w:pStyle w:val="ListParagraph"/>
        <w:numPr>
          <w:ilvl w:val="0"/>
          <w:numId w:val="19"/>
        </w:numPr>
        <w:spacing w:before="0" w:after="200"/>
        <w:ind w:left="595" w:hanging="357"/>
        <w:contextualSpacing w:val="0"/>
      </w:pPr>
      <w:r>
        <w:t>References to the person who may consent to such a transaction are to the person who under the covenant may consent to the tenant undertaking the alteration, addition or improvement.</w:t>
      </w:r>
    </w:p>
    <w:p w14:paraId="370A4B5E" w14:textId="1EFBE38B" w:rsidR="00667A19" w:rsidRDefault="00667A19" w:rsidP="004412FE">
      <w:pPr>
        <w:pStyle w:val="ListParagraph"/>
        <w:numPr>
          <w:ilvl w:val="0"/>
          <w:numId w:val="19"/>
        </w:numPr>
        <w:spacing w:before="0" w:after="200"/>
        <w:ind w:left="595" w:hanging="357"/>
        <w:contextualSpacing w:val="0"/>
      </w:pPr>
      <w:r>
        <w:t>In all leases containing such a covenant, such covenant shall, notwithstanding any express provision to the contrary, be deemed to be subject to a qualification that, where the proposed alteration, addition or improvement is a</w:t>
      </w:r>
      <w:r w:rsidR="004629B9">
        <w:t>n energy efficiency</w:t>
      </w:r>
      <w:r>
        <w:t xml:space="preserve"> improvement, it is permitted subject to the prior written consent of the landlord and such consent is not to be unreasonably withheld or delayed but this proviso does not preclude the landlord from requiring payment of a reasonable sum in respect of any legal or other expenses incurred in connection with such consent. </w:t>
      </w:r>
    </w:p>
    <w:p w14:paraId="20FA1BE2" w14:textId="312CE64B" w:rsidR="00667A19" w:rsidRDefault="00667A19" w:rsidP="004412FE">
      <w:pPr>
        <w:pStyle w:val="ListParagraph"/>
        <w:numPr>
          <w:ilvl w:val="0"/>
          <w:numId w:val="19"/>
        </w:numPr>
        <w:spacing w:before="0" w:after="200"/>
        <w:ind w:left="595" w:hanging="357"/>
        <w:contextualSpacing w:val="0"/>
      </w:pPr>
      <w:r>
        <w:t>Where there is served on the landlord a written application by the tenant for consent to carrying out the</w:t>
      </w:r>
      <w:r w:rsidR="004629B9">
        <w:t xml:space="preserve"> energy efficiency</w:t>
      </w:r>
      <w:r>
        <w:t xml:space="preserve"> improvements, he owes a duty to the tenant within a reasonable time-</w:t>
      </w:r>
    </w:p>
    <w:p w14:paraId="360C7290" w14:textId="3D03604A" w:rsidR="00667A19" w:rsidRDefault="00667A19" w:rsidP="004412FE">
      <w:pPr>
        <w:pStyle w:val="ListParagraph"/>
        <w:numPr>
          <w:ilvl w:val="0"/>
          <w:numId w:val="20"/>
        </w:numPr>
        <w:spacing w:before="0" w:after="200"/>
        <w:contextualSpacing w:val="0"/>
      </w:pPr>
      <w:r>
        <w:t>to give consent, except in a case where it is reasonable not to give consent,</w:t>
      </w:r>
    </w:p>
    <w:p w14:paraId="1693C067" w14:textId="18089FC4" w:rsidR="00667A19" w:rsidRDefault="00667A19" w:rsidP="004412FE">
      <w:pPr>
        <w:pStyle w:val="ListParagraph"/>
        <w:numPr>
          <w:ilvl w:val="0"/>
          <w:numId w:val="20"/>
        </w:numPr>
        <w:spacing w:before="0" w:after="200"/>
        <w:contextualSpacing w:val="0"/>
      </w:pPr>
      <w:r>
        <w:t>to serve on the tenant written notice of his decision whether or not to give consent specifying in addition--</w:t>
      </w:r>
    </w:p>
    <w:p w14:paraId="3D48EAD6" w14:textId="17CF07C0" w:rsidR="00667A19" w:rsidRDefault="00667A19" w:rsidP="004412FE">
      <w:pPr>
        <w:spacing w:before="120"/>
        <w:ind w:left="720" w:firstLine="600"/>
      </w:pPr>
      <w:r>
        <w:t>(</w:t>
      </w:r>
      <w:proofErr w:type="gramStart"/>
      <w:r w:rsidR="00503E59">
        <w:t>a</w:t>
      </w:r>
      <w:proofErr w:type="gramEnd"/>
      <w:r>
        <w:t>)     if the consent is given subject to conditions, the conditions,</w:t>
      </w:r>
    </w:p>
    <w:p w14:paraId="3165EF28" w14:textId="7C691B00" w:rsidR="00667A19" w:rsidRDefault="00667A19" w:rsidP="004412FE">
      <w:pPr>
        <w:spacing w:before="120"/>
        <w:ind w:left="720" w:firstLine="600"/>
      </w:pPr>
      <w:r>
        <w:t>(</w:t>
      </w:r>
      <w:r w:rsidR="00503E59">
        <w:t>b</w:t>
      </w:r>
      <w:r>
        <w:t xml:space="preserve">)     </w:t>
      </w:r>
      <w:proofErr w:type="gramStart"/>
      <w:r>
        <w:t>if</w:t>
      </w:r>
      <w:proofErr w:type="gramEnd"/>
      <w:r>
        <w:t xml:space="preserve"> the consent is withheld, the reasons for withholding it.</w:t>
      </w:r>
    </w:p>
    <w:p w14:paraId="1634C792" w14:textId="71AC1983" w:rsidR="00667A19" w:rsidRDefault="00667A19" w:rsidP="004412FE">
      <w:pPr>
        <w:pStyle w:val="ListParagraph"/>
        <w:numPr>
          <w:ilvl w:val="0"/>
          <w:numId w:val="19"/>
        </w:numPr>
        <w:spacing w:before="0" w:after="200"/>
        <w:ind w:left="595" w:hanging="357"/>
        <w:contextualSpacing w:val="0"/>
      </w:pPr>
      <w:r>
        <w:t xml:space="preserve">Giving consent subject to any condition that is not a reasonable condition does not satisfy the duty under </w:t>
      </w:r>
      <w:r w:rsidR="00F124DA">
        <w:t xml:space="preserve">this </w:t>
      </w:r>
      <w:r w:rsidR="00D914F1">
        <w:t>section</w:t>
      </w:r>
      <w:r>
        <w:t>.</w:t>
      </w:r>
    </w:p>
    <w:p w14:paraId="0BC22282" w14:textId="20E82A42" w:rsidR="00AC69C3" w:rsidRDefault="00AC69C3" w:rsidP="004412FE">
      <w:pPr>
        <w:pStyle w:val="ListParagraph"/>
        <w:numPr>
          <w:ilvl w:val="0"/>
          <w:numId w:val="19"/>
        </w:numPr>
        <w:spacing w:before="0" w:after="200"/>
        <w:ind w:left="595" w:hanging="357"/>
        <w:contextualSpacing w:val="0"/>
      </w:pPr>
      <w:r>
        <w:t xml:space="preserve">It will not be reasonable to refuse consent if the </w:t>
      </w:r>
      <w:r w:rsidR="004629B9">
        <w:t>energy efficiency improvement</w:t>
      </w:r>
      <w:r>
        <w:t xml:space="preserve"> does not cause any structural or other harm to the building or substantially interfere with the rights of others in the building or parts thereof</w:t>
      </w:r>
    </w:p>
    <w:p w14:paraId="01D8DBC6" w14:textId="2F7C1F0F" w:rsidR="00667A19" w:rsidRDefault="00667A19" w:rsidP="004412FE">
      <w:pPr>
        <w:pStyle w:val="ListParagraph"/>
        <w:numPr>
          <w:ilvl w:val="0"/>
          <w:numId w:val="19"/>
        </w:numPr>
        <w:spacing w:before="0" w:after="200"/>
        <w:ind w:left="595" w:hanging="357"/>
        <w:contextualSpacing w:val="0"/>
      </w:pPr>
      <w:r>
        <w:t xml:space="preserve">It is for the person who owed any duty under </w:t>
      </w:r>
      <w:r w:rsidR="003E3531">
        <w:t xml:space="preserve">this </w:t>
      </w:r>
      <w:r w:rsidR="00D914F1">
        <w:t>section</w:t>
      </w:r>
      <w:r>
        <w:t>--</w:t>
      </w:r>
    </w:p>
    <w:p w14:paraId="7773E317" w14:textId="64892A2B" w:rsidR="00667A19" w:rsidRDefault="00667A19" w:rsidP="004B5414">
      <w:pPr>
        <w:pStyle w:val="ListParagraph"/>
        <w:numPr>
          <w:ilvl w:val="0"/>
          <w:numId w:val="21"/>
        </w:numPr>
        <w:spacing w:before="0" w:after="200"/>
        <w:contextualSpacing w:val="0"/>
      </w:pPr>
      <w:r>
        <w:t>if he gave consent and the question arises whether he gave it within a reasonable time, show that he did,</w:t>
      </w:r>
    </w:p>
    <w:p w14:paraId="33DBD0FC" w14:textId="52247063" w:rsidR="00667A19" w:rsidRDefault="00667A19" w:rsidP="004B5414">
      <w:pPr>
        <w:pStyle w:val="ListParagraph"/>
        <w:numPr>
          <w:ilvl w:val="0"/>
          <w:numId w:val="21"/>
        </w:numPr>
        <w:spacing w:before="0" w:after="200"/>
        <w:contextualSpacing w:val="0"/>
      </w:pPr>
      <w:r>
        <w:lastRenderedPageBreak/>
        <w:t>if he gave consent subject to any condition and the question arises whether the condition was a reasonable condition, to show that it was,</w:t>
      </w:r>
    </w:p>
    <w:p w14:paraId="12ED260C" w14:textId="22438C07" w:rsidR="00667A19" w:rsidRDefault="00667A19" w:rsidP="004B5414">
      <w:pPr>
        <w:pStyle w:val="ListParagraph"/>
        <w:numPr>
          <w:ilvl w:val="0"/>
          <w:numId w:val="21"/>
        </w:numPr>
        <w:spacing w:before="0" w:after="200"/>
        <w:contextualSpacing w:val="0"/>
      </w:pPr>
      <w:r>
        <w:t>if he did not give consent and the question arises whether it was reasonable for him not to do so, to show that it was reasonable,</w:t>
      </w:r>
    </w:p>
    <w:p w14:paraId="55FC102A" w14:textId="44215440" w:rsidR="00667A19" w:rsidRPr="003326FA" w:rsidRDefault="00667A19" w:rsidP="004B5414">
      <w:pPr>
        <w:spacing w:before="120"/>
        <w:ind w:left="240"/>
      </w:pPr>
      <w:proofErr w:type="gramStart"/>
      <w:r>
        <w:t>and</w:t>
      </w:r>
      <w:proofErr w:type="gramEnd"/>
      <w:r>
        <w:t>, if the question arises whether</w:t>
      </w:r>
      <w:r w:rsidR="00F124DA">
        <w:t xml:space="preserve"> he served notice under that </w:t>
      </w:r>
      <w:r>
        <w:t>section within a reasonable time, to show that he did.</w:t>
      </w:r>
    </w:p>
    <w:sectPr w:rsidR="00667A19" w:rsidRPr="003326FA" w:rsidSect="0019091F">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D8E9C" w14:textId="77777777" w:rsidR="00D7209B" w:rsidRDefault="00D7209B" w:rsidP="00A63B42">
      <w:r>
        <w:separator/>
      </w:r>
    </w:p>
  </w:endnote>
  <w:endnote w:type="continuationSeparator" w:id="0">
    <w:p w14:paraId="7018B993" w14:textId="77777777" w:rsidR="00D7209B" w:rsidRDefault="00D7209B" w:rsidP="00A6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1F6E" w14:textId="77777777" w:rsidR="001251A3" w:rsidRDefault="00125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B1CD" w14:textId="77777777" w:rsidR="001251A3" w:rsidRDefault="00125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5A772" w14:textId="77777777" w:rsidR="001251A3" w:rsidRDefault="0012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1EED5" w14:textId="77777777" w:rsidR="00D7209B" w:rsidRDefault="00D7209B" w:rsidP="00A63B42">
      <w:r>
        <w:separator/>
      </w:r>
    </w:p>
  </w:footnote>
  <w:footnote w:type="continuationSeparator" w:id="0">
    <w:p w14:paraId="5805B277" w14:textId="77777777" w:rsidR="00D7209B" w:rsidRDefault="00D7209B" w:rsidP="00A63B42">
      <w:r>
        <w:continuationSeparator/>
      </w:r>
    </w:p>
  </w:footnote>
  <w:footnote w:id="1">
    <w:p w14:paraId="66FACD61" w14:textId="688FB2BA" w:rsidR="001251A3" w:rsidRDefault="001251A3">
      <w:pPr>
        <w:pStyle w:val="FootnoteText"/>
      </w:pPr>
      <w:r>
        <w:rPr>
          <w:rStyle w:val="FootnoteReference"/>
        </w:rPr>
        <w:footnoteRef/>
      </w:r>
      <w:r>
        <w:t xml:space="preserve"> See Section 2 below</w:t>
      </w:r>
    </w:p>
  </w:footnote>
  <w:footnote w:id="2">
    <w:p w14:paraId="3EA5FAA6" w14:textId="33053274" w:rsidR="001251A3" w:rsidRDefault="001251A3" w:rsidP="00302432">
      <w:pPr>
        <w:pStyle w:val="FootnoteText"/>
      </w:pPr>
      <w:r>
        <w:rPr>
          <w:rStyle w:val="FootnoteReference"/>
        </w:rPr>
        <w:footnoteRef/>
      </w:r>
      <w:r>
        <w:t xml:space="preserve"> We focus on pre-1980 construction houses and flats because after this date insulation and double glazing began to be standard features of homes at the point they were constructed.</w:t>
      </w:r>
    </w:p>
  </w:footnote>
  <w:footnote w:id="3">
    <w:p w14:paraId="008D882D" w14:textId="286580A1" w:rsidR="001251A3" w:rsidRDefault="001251A3" w:rsidP="002A0628">
      <w:pPr>
        <w:pStyle w:val="FootnoteText"/>
        <w:rPr>
          <w:color w:val="333333"/>
          <w:sz w:val="18"/>
          <w:szCs w:val="18"/>
          <w:shd w:val="clear" w:color="auto" w:fill="FFFFFF"/>
        </w:rPr>
      </w:pPr>
      <w:r>
        <w:rPr>
          <w:rStyle w:val="FootnoteReference"/>
        </w:rPr>
        <w:footnoteRef/>
      </w:r>
      <w:r w:rsidR="00EE0EE4">
        <w:t xml:space="preserve">Analysis of </w:t>
      </w:r>
      <w:r>
        <w:t xml:space="preserve">English Housing Survey </w:t>
      </w:r>
      <w:r>
        <w:rPr>
          <w:color w:val="333333"/>
          <w:sz w:val="18"/>
          <w:szCs w:val="18"/>
          <w:shd w:val="clear" w:color="auto" w:fill="FFFFFF"/>
        </w:rPr>
        <w:t>Department for Communities and Local Government. (2015).</w:t>
      </w:r>
      <w:r>
        <w:rPr>
          <w:rStyle w:val="apple-converted-space"/>
          <w:color w:val="333333"/>
          <w:sz w:val="18"/>
          <w:szCs w:val="18"/>
          <w:shd w:val="clear" w:color="auto" w:fill="FFFFFF"/>
        </w:rPr>
        <w:t> </w:t>
      </w:r>
      <w:r>
        <w:rPr>
          <w:i/>
          <w:iCs/>
          <w:color w:val="333333"/>
          <w:sz w:val="18"/>
          <w:szCs w:val="18"/>
          <w:shd w:val="clear" w:color="auto" w:fill="FFFFFF"/>
        </w:rPr>
        <w:t>English Housing Survey, 2013: Housing Stock Data</w:t>
      </w:r>
      <w:r>
        <w:rPr>
          <w:color w:val="333333"/>
          <w:sz w:val="18"/>
          <w:szCs w:val="18"/>
          <w:shd w:val="clear" w:color="auto" w:fill="FFFFFF"/>
        </w:rPr>
        <w:t>. [</w:t>
      </w:r>
      <w:proofErr w:type="gramStart"/>
      <w:r>
        <w:rPr>
          <w:color w:val="333333"/>
          <w:sz w:val="18"/>
          <w:szCs w:val="18"/>
          <w:shd w:val="clear" w:color="auto" w:fill="FFFFFF"/>
        </w:rPr>
        <w:t>data</w:t>
      </w:r>
      <w:proofErr w:type="gramEnd"/>
      <w:r>
        <w:rPr>
          <w:color w:val="333333"/>
          <w:sz w:val="18"/>
          <w:szCs w:val="18"/>
          <w:shd w:val="clear" w:color="auto" w:fill="FFFFFF"/>
        </w:rPr>
        <w:t xml:space="preserve"> collection]. UK Data Service. SN: 7802,</w:t>
      </w:r>
      <w:r>
        <w:rPr>
          <w:rStyle w:val="apple-converted-space"/>
          <w:color w:val="333333"/>
          <w:sz w:val="18"/>
          <w:szCs w:val="18"/>
          <w:shd w:val="clear" w:color="auto" w:fill="FFFFFF"/>
        </w:rPr>
        <w:t> </w:t>
      </w:r>
      <w:hyperlink r:id="rId1" w:history="1">
        <w:r>
          <w:rPr>
            <w:rStyle w:val="Hyperlink"/>
            <w:rFonts w:eastAsiaTheme="majorEastAsia"/>
            <w:color w:val="702082"/>
            <w:sz w:val="18"/>
            <w:szCs w:val="18"/>
            <w:shd w:val="clear" w:color="auto" w:fill="FFFFFF"/>
          </w:rPr>
          <w:t>http://dx.doi.org/10.5255/UKDA-SN-7802-1</w:t>
        </w:r>
      </w:hyperlink>
      <w:r>
        <w:rPr>
          <w:color w:val="333333"/>
          <w:sz w:val="18"/>
          <w:szCs w:val="18"/>
          <w:shd w:val="clear" w:color="auto" w:fill="FFFFFF"/>
        </w:rPr>
        <w:t>.</w:t>
      </w:r>
    </w:p>
    <w:p w14:paraId="50ADDFF8" w14:textId="77777777" w:rsidR="001251A3" w:rsidRDefault="001251A3" w:rsidP="002A0628">
      <w:pPr>
        <w:pStyle w:val="FootnoteText"/>
      </w:pPr>
    </w:p>
  </w:footnote>
  <w:footnote w:id="4">
    <w:p w14:paraId="7E205109" w14:textId="77777777" w:rsidR="001251A3" w:rsidRDefault="001251A3">
      <w:pPr>
        <w:pStyle w:val="FootnoteText"/>
      </w:pPr>
      <w:r>
        <w:rPr>
          <w:rStyle w:val="FootnoteReference"/>
        </w:rPr>
        <w:footnoteRef/>
      </w:r>
      <w:r>
        <w:t xml:space="preserve"> U</w:t>
      </w:r>
      <w:r w:rsidRPr="00F3042B">
        <w:t>nder which “repair and maintenance” in the 2004 Tenements Scotland Act was redefined as also referring to the installation of insulation.</w:t>
      </w:r>
    </w:p>
  </w:footnote>
  <w:footnote w:id="5">
    <w:p w14:paraId="2CE76FC7" w14:textId="77777777" w:rsidR="001251A3" w:rsidRDefault="001251A3" w:rsidP="000011EA">
      <w:pPr>
        <w:pStyle w:val="FootnoteText"/>
      </w:pPr>
      <w:r>
        <w:rPr>
          <w:rStyle w:val="FootnoteReference"/>
        </w:rPr>
        <w:footnoteRef/>
      </w:r>
      <w:r>
        <w:t xml:space="preserve">  T</w:t>
      </w:r>
      <w:r w:rsidRPr="00CB7B97">
        <w:t xml:space="preserve">he second proposal has no Scottish equivalent because other owners of the building cannot restrict the </w:t>
      </w:r>
      <w:r>
        <w:t>improvements that a</w:t>
      </w:r>
      <w:r w:rsidRPr="00CB7B97">
        <w:t xml:space="preserve"> Scottish fl</w:t>
      </w:r>
      <w:r>
        <w:t>at owner wishes to make within their own flat.</w:t>
      </w:r>
    </w:p>
  </w:footnote>
  <w:footnote w:id="6">
    <w:p w14:paraId="4ABAF671" w14:textId="0159967A" w:rsidR="001251A3" w:rsidRDefault="001251A3">
      <w:pPr>
        <w:pStyle w:val="FootnoteText"/>
      </w:pPr>
      <w:r>
        <w:rPr>
          <w:rStyle w:val="FootnoteReference"/>
        </w:rPr>
        <w:footnoteRef/>
      </w:r>
      <w:r>
        <w:t xml:space="preserve"> Pursuant to the Energy Act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2BF98" w14:textId="77777777" w:rsidR="001251A3" w:rsidRDefault="00125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0BE7" w14:textId="77777777" w:rsidR="001251A3" w:rsidRDefault="00125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AF6D" w14:textId="77777777" w:rsidR="001251A3" w:rsidRDefault="00125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6B3"/>
    <w:multiLevelType w:val="hybridMultilevel"/>
    <w:tmpl w:val="D43CC00C"/>
    <w:lvl w:ilvl="0" w:tplc="B80C2432">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0D076BF1"/>
    <w:multiLevelType w:val="hybridMultilevel"/>
    <w:tmpl w:val="64D4A262"/>
    <w:lvl w:ilvl="0" w:tplc="0F545E8A">
      <w:start w:val="1"/>
      <w:numFmt w:val="lowerLetter"/>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15:restartNumberingAfterBreak="0">
    <w:nsid w:val="133642DE"/>
    <w:multiLevelType w:val="hybridMultilevel"/>
    <w:tmpl w:val="72AA6922"/>
    <w:lvl w:ilvl="0" w:tplc="764811C8">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17641D0B"/>
    <w:multiLevelType w:val="hybridMultilevel"/>
    <w:tmpl w:val="38B293D6"/>
    <w:lvl w:ilvl="0" w:tplc="CD1E9C56">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1DE516CF"/>
    <w:multiLevelType w:val="hybridMultilevel"/>
    <w:tmpl w:val="962C8F64"/>
    <w:lvl w:ilvl="0" w:tplc="C3121986">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15:restartNumberingAfterBreak="0">
    <w:nsid w:val="24935003"/>
    <w:multiLevelType w:val="hybridMultilevel"/>
    <w:tmpl w:val="BF62915A"/>
    <w:lvl w:ilvl="0" w:tplc="815C39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DE08EB"/>
    <w:multiLevelType w:val="hybridMultilevel"/>
    <w:tmpl w:val="72AA6922"/>
    <w:lvl w:ilvl="0" w:tplc="764811C8">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25C77A65"/>
    <w:multiLevelType w:val="hybridMultilevel"/>
    <w:tmpl w:val="C8DC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9105E"/>
    <w:multiLevelType w:val="hybridMultilevel"/>
    <w:tmpl w:val="962C8F64"/>
    <w:lvl w:ilvl="0" w:tplc="C3121986">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15:restartNumberingAfterBreak="0">
    <w:nsid w:val="2FBD2710"/>
    <w:multiLevelType w:val="hybridMultilevel"/>
    <w:tmpl w:val="962C8F64"/>
    <w:lvl w:ilvl="0" w:tplc="C3121986">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32150A61"/>
    <w:multiLevelType w:val="hybridMultilevel"/>
    <w:tmpl w:val="F2BC9E80"/>
    <w:lvl w:ilvl="0" w:tplc="2CBA31F8">
      <w:start w:val="1"/>
      <w:numFmt w:val="lowerLetter"/>
      <w:lvlText w:val="(%1)"/>
      <w:lvlJc w:val="left"/>
      <w:pPr>
        <w:ind w:left="960" w:hanging="720"/>
      </w:pPr>
      <w:rPr>
        <w:rFonts w:ascii="Arial" w:eastAsia="Times New Roman" w:hAnsi="Arial" w:cs="Arial"/>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35C45BE6"/>
    <w:multiLevelType w:val="hybridMultilevel"/>
    <w:tmpl w:val="5E0EABAE"/>
    <w:lvl w:ilvl="0" w:tplc="0F4AC7B8">
      <w:start w:val="1"/>
      <w:numFmt w:val="decimal"/>
      <w:lvlText w:val="%1"/>
      <w:lvlJc w:val="left"/>
      <w:pPr>
        <w:ind w:left="1440" w:hanging="120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46252FAE"/>
    <w:multiLevelType w:val="hybridMultilevel"/>
    <w:tmpl w:val="CAFE168C"/>
    <w:lvl w:ilvl="0" w:tplc="02BC24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76DF9"/>
    <w:multiLevelType w:val="hybridMultilevel"/>
    <w:tmpl w:val="A8729782"/>
    <w:lvl w:ilvl="0" w:tplc="E51C1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81526A"/>
    <w:multiLevelType w:val="hybridMultilevel"/>
    <w:tmpl w:val="853A6D70"/>
    <w:lvl w:ilvl="0" w:tplc="C3121986">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5" w15:restartNumberingAfterBreak="0">
    <w:nsid w:val="502159A1"/>
    <w:multiLevelType w:val="hybridMultilevel"/>
    <w:tmpl w:val="D18094DC"/>
    <w:lvl w:ilvl="0" w:tplc="053042E6">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6" w15:restartNumberingAfterBreak="0">
    <w:nsid w:val="5778649A"/>
    <w:multiLevelType w:val="hybridMultilevel"/>
    <w:tmpl w:val="853A6D70"/>
    <w:lvl w:ilvl="0" w:tplc="C3121986">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15:restartNumberingAfterBreak="0">
    <w:nsid w:val="596F4611"/>
    <w:multiLevelType w:val="hybridMultilevel"/>
    <w:tmpl w:val="962C8F64"/>
    <w:lvl w:ilvl="0" w:tplc="C3121986">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15:restartNumberingAfterBreak="0">
    <w:nsid w:val="60B665C1"/>
    <w:multiLevelType w:val="hybridMultilevel"/>
    <w:tmpl w:val="0C76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1B6047"/>
    <w:multiLevelType w:val="hybridMultilevel"/>
    <w:tmpl w:val="BDFE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C568EA"/>
    <w:multiLevelType w:val="hybridMultilevel"/>
    <w:tmpl w:val="44A8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64F8B"/>
    <w:multiLevelType w:val="multilevel"/>
    <w:tmpl w:val="BD8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20"/>
  </w:num>
  <w:num w:numId="4">
    <w:abstractNumId w:val="11"/>
  </w:num>
  <w:num w:numId="5">
    <w:abstractNumId w:val="7"/>
  </w:num>
  <w:num w:numId="6">
    <w:abstractNumId w:val="19"/>
  </w:num>
  <w:num w:numId="7">
    <w:abstractNumId w:val="10"/>
  </w:num>
  <w:num w:numId="8">
    <w:abstractNumId w:val="0"/>
  </w:num>
  <w:num w:numId="9">
    <w:abstractNumId w:val="16"/>
  </w:num>
  <w:num w:numId="10">
    <w:abstractNumId w:val="3"/>
  </w:num>
  <w:num w:numId="11">
    <w:abstractNumId w:val="13"/>
  </w:num>
  <w:num w:numId="12">
    <w:abstractNumId w:val="5"/>
  </w:num>
  <w:num w:numId="13">
    <w:abstractNumId w:val="1"/>
  </w:num>
  <w:num w:numId="14">
    <w:abstractNumId w:val="15"/>
  </w:num>
  <w:num w:numId="15">
    <w:abstractNumId w:val="14"/>
  </w:num>
  <w:num w:numId="16">
    <w:abstractNumId w:val="2"/>
  </w:num>
  <w:num w:numId="17">
    <w:abstractNumId w:val="17"/>
  </w:num>
  <w:num w:numId="18">
    <w:abstractNumId w:val="8"/>
  </w:num>
  <w:num w:numId="19">
    <w:abstractNumId w:val="6"/>
  </w:num>
  <w:num w:numId="20">
    <w:abstractNumId w:val="4"/>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FA"/>
    <w:rsid w:val="000011EA"/>
    <w:rsid w:val="00011AE4"/>
    <w:rsid w:val="00013EFF"/>
    <w:rsid w:val="000362B1"/>
    <w:rsid w:val="00073ADF"/>
    <w:rsid w:val="000A5594"/>
    <w:rsid w:val="000B1F0F"/>
    <w:rsid w:val="000C0789"/>
    <w:rsid w:val="000D45FB"/>
    <w:rsid w:val="0010553C"/>
    <w:rsid w:val="00114C64"/>
    <w:rsid w:val="001251A3"/>
    <w:rsid w:val="001363A5"/>
    <w:rsid w:val="001468F4"/>
    <w:rsid w:val="0019091F"/>
    <w:rsid w:val="001F7A21"/>
    <w:rsid w:val="00242656"/>
    <w:rsid w:val="00295300"/>
    <w:rsid w:val="002A0628"/>
    <w:rsid w:val="002C1ECF"/>
    <w:rsid w:val="002D5820"/>
    <w:rsid w:val="002F018C"/>
    <w:rsid w:val="00302432"/>
    <w:rsid w:val="003308B2"/>
    <w:rsid w:val="003326FA"/>
    <w:rsid w:val="00343E06"/>
    <w:rsid w:val="0035236D"/>
    <w:rsid w:val="00380A9A"/>
    <w:rsid w:val="003841DF"/>
    <w:rsid w:val="003E1F51"/>
    <w:rsid w:val="003E3531"/>
    <w:rsid w:val="004360B5"/>
    <w:rsid w:val="004412FE"/>
    <w:rsid w:val="004434F1"/>
    <w:rsid w:val="00460CC8"/>
    <w:rsid w:val="004629B9"/>
    <w:rsid w:val="004662B6"/>
    <w:rsid w:val="004A0079"/>
    <w:rsid w:val="004B1D54"/>
    <w:rsid w:val="004B5414"/>
    <w:rsid w:val="004E4822"/>
    <w:rsid w:val="00503E59"/>
    <w:rsid w:val="00535D3B"/>
    <w:rsid w:val="00580E8C"/>
    <w:rsid w:val="005A03EA"/>
    <w:rsid w:val="005A2FB9"/>
    <w:rsid w:val="005A5A7C"/>
    <w:rsid w:val="006116A0"/>
    <w:rsid w:val="00621571"/>
    <w:rsid w:val="00667A19"/>
    <w:rsid w:val="00684827"/>
    <w:rsid w:val="006C0B3B"/>
    <w:rsid w:val="006F2466"/>
    <w:rsid w:val="0071488F"/>
    <w:rsid w:val="00733798"/>
    <w:rsid w:val="00780033"/>
    <w:rsid w:val="007C7498"/>
    <w:rsid w:val="007E252C"/>
    <w:rsid w:val="008604C6"/>
    <w:rsid w:val="00866E98"/>
    <w:rsid w:val="008B3BA6"/>
    <w:rsid w:val="008E2C9F"/>
    <w:rsid w:val="00933D06"/>
    <w:rsid w:val="00990CE9"/>
    <w:rsid w:val="009A71A4"/>
    <w:rsid w:val="00A448F2"/>
    <w:rsid w:val="00A63B42"/>
    <w:rsid w:val="00AC69C3"/>
    <w:rsid w:val="00AD73FD"/>
    <w:rsid w:val="00AF7D3A"/>
    <w:rsid w:val="00B704BA"/>
    <w:rsid w:val="00B90B2F"/>
    <w:rsid w:val="00B92D93"/>
    <w:rsid w:val="00BA3D9A"/>
    <w:rsid w:val="00BF64CB"/>
    <w:rsid w:val="00BF69BF"/>
    <w:rsid w:val="00C1331C"/>
    <w:rsid w:val="00C379E5"/>
    <w:rsid w:val="00C42FA7"/>
    <w:rsid w:val="00C433F0"/>
    <w:rsid w:val="00CA3B7B"/>
    <w:rsid w:val="00CB7B97"/>
    <w:rsid w:val="00D15F25"/>
    <w:rsid w:val="00D443AC"/>
    <w:rsid w:val="00D55FA3"/>
    <w:rsid w:val="00D7209B"/>
    <w:rsid w:val="00D914F1"/>
    <w:rsid w:val="00DD7B82"/>
    <w:rsid w:val="00E02523"/>
    <w:rsid w:val="00E21E40"/>
    <w:rsid w:val="00E47D68"/>
    <w:rsid w:val="00EE0EE4"/>
    <w:rsid w:val="00EE172D"/>
    <w:rsid w:val="00EF25D3"/>
    <w:rsid w:val="00F124DA"/>
    <w:rsid w:val="00F14C37"/>
    <w:rsid w:val="00F3042B"/>
    <w:rsid w:val="00F46779"/>
    <w:rsid w:val="00F7285C"/>
    <w:rsid w:val="00F82695"/>
    <w:rsid w:val="00F91663"/>
    <w:rsid w:val="00FC4400"/>
    <w:rsid w:val="00FF26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A403F"/>
  <w15:docId w15:val="{41DC7A64-807F-4156-9785-E5A3C585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42"/>
    <w:pPr>
      <w:spacing w:before="8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667A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3B42"/>
    <w:pPr>
      <w:keepNext/>
      <w:keepLines/>
      <w:spacing w:before="320" w:after="0"/>
      <w:outlineLvl w:val="1"/>
    </w:pPr>
    <w:rPr>
      <w:rFonts w:asciiTheme="majorHAnsi"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866E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6FA"/>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326FA"/>
    <w:rPr>
      <w:sz w:val="18"/>
      <w:szCs w:val="18"/>
    </w:rPr>
  </w:style>
  <w:style w:type="paragraph" w:styleId="CommentText">
    <w:name w:val="annotation text"/>
    <w:basedOn w:val="Normal"/>
    <w:link w:val="CommentTextChar"/>
    <w:uiPriority w:val="99"/>
    <w:semiHidden/>
    <w:unhideWhenUsed/>
    <w:rsid w:val="003326FA"/>
    <w:rPr>
      <w:sz w:val="24"/>
      <w:szCs w:val="24"/>
    </w:rPr>
  </w:style>
  <w:style w:type="character" w:customStyle="1" w:styleId="CommentTextChar">
    <w:name w:val="Comment Text Char"/>
    <w:basedOn w:val="DefaultParagraphFont"/>
    <w:link w:val="CommentText"/>
    <w:uiPriority w:val="99"/>
    <w:semiHidden/>
    <w:rsid w:val="003326FA"/>
    <w:rPr>
      <w:sz w:val="24"/>
      <w:szCs w:val="24"/>
    </w:rPr>
  </w:style>
  <w:style w:type="paragraph" w:styleId="BalloonText">
    <w:name w:val="Balloon Text"/>
    <w:basedOn w:val="Normal"/>
    <w:link w:val="BalloonTextChar"/>
    <w:uiPriority w:val="99"/>
    <w:semiHidden/>
    <w:unhideWhenUsed/>
    <w:rsid w:val="003326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FA"/>
    <w:rPr>
      <w:rFonts w:ascii="Segoe UI" w:hAnsi="Segoe UI" w:cs="Segoe UI"/>
      <w:sz w:val="18"/>
      <w:szCs w:val="18"/>
    </w:rPr>
  </w:style>
  <w:style w:type="paragraph" w:styleId="FootnoteText">
    <w:name w:val="footnote text"/>
    <w:basedOn w:val="Normal"/>
    <w:link w:val="FootnoteTextChar"/>
    <w:uiPriority w:val="99"/>
    <w:unhideWhenUsed/>
    <w:rsid w:val="00B92D93"/>
    <w:pPr>
      <w:spacing w:after="0"/>
    </w:pPr>
    <w:rPr>
      <w:sz w:val="20"/>
      <w:szCs w:val="20"/>
    </w:rPr>
  </w:style>
  <w:style w:type="character" w:customStyle="1" w:styleId="FootnoteTextChar">
    <w:name w:val="Footnote Text Char"/>
    <w:basedOn w:val="DefaultParagraphFont"/>
    <w:link w:val="FootnoteText"/>
    <w:uiPriority w:val="99"/>
    <w:rsid w:val="00B92D93"/>
    <w:rPr>
      <w:sz w:val="20"/>
      <w:szCs w:val="20"/>
    </w:rPr>
  </w:style>
  <w:style w:type="character" w:styleId="FootnoteReference">
    <w:name w:val="footnote reference"/>
    <w:basedOn w:val="DefaultParagraphFont"/>
    <w:uiPriority w:val="99"/>
    <w:semiHidden/>
    <w:unhideWhenUsed/>
    <w:rsid w:val="00B92D93"/>
    <w:rPr>
      <w:vertAlign w:val="superscript"/>
    </w:rPr>
  </w:style>
  <w:style w:type="paragraph" w:styleId="Title">
    <w:name w:val="Title"/>
    <w:basedOn w:val="Normal"/>
    <w:next w:val="Normal"/>
    <w:link w:val="TitleChar"/>
    <w:uiPriority w:val="10"/>
    <w:qFormat/>
    <w:rsid w:val="00A63B4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B4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63B42"/>
    <w:rPr>
      <w:rFonts w:asciiTheme="majorHAnsi" w:eastAsia="Times New Roman" w:hAnsiTheme="majorHAnsi" w:cstheme="majorBidi"/>
      <w:b/>
      <w:color w:val="2E74B5" w:themeColor="accent1" w:themeShade="BF"/>
      <w:sz w:val="26"/>
      <w:szCs w:val="26"/>
      <w:lang w:eastAsia="en-GB"/>
    </w:rPr>
  </w:style>
  <w:style w:type="paragraph" w:styleId="ListParagraph">
    <w:name w:val="List Paragraph"/>
    <w:basedOn w:val="Normal"/>
    <w:uiPriority w:val="34"/>
    <w:qFormat/>
    <w:rsid w:val="00A63B42"/>
    <w:pPr>
      <w:ind w:left="720"/>
      <w:contextualSpacing/>
    </w:pPr>
  </w:style>
  <w:style w:type="paragraph" w:styleId="Subtitle">
    <w:name w:val="Subtitle"/>
    <w:basedOn w:val="Normal"/>
    <w:next w:val="Normal"/>
    <w:link w:val="SubtitleChar"/>
    <w:uiPriority w:val="11"/>
    <w:qFormat/>
    <w:rsid w:val="00A63B42"/>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63B42"/>
    <w:rPr>
      <w:rFonts w:eastAsiaTheme="minorEastAsia"/>
      <w:color w:val="5A5A5A" w:themeColor="text1" w:themeTint="A5"/>
      <w:spacing w:val="15"/>
      <w:lang w:eastAsia="en-GB"/>
    </w:rPr>
  </w:style>
  <w:style w:type="paragraph" w:styleId="Header">
    <w:name w:val="header"/>
    <w:basedOn w:val="Normal"/>
    <w:link w:val="HeaderChar"/>
    <w:uiPriority w:val="99"/>
    <w:unhideWhenUsed/>
    <w:rsid w:val="002D5820"/>
    <w:pPr>
      <w:tabs>
        <w:tab w:val="center" w:pos="4513"/>
        <w:tab w:val="right" w:pos="9026"/>
      </w:tabs>
      <w:spacing w:before="0" w:after="0"/>
    </w:pPr>
  </w:style>
  <w:style w:type="character" w:customStyle="1" w:styleId="HeaderChar">
    <w:name w:val="Header Char"/>
    <w:basedOn w:val="DefaultParagraphFont"/>
    <w:link w:val="Header"/>
    <w:uiPriority w:val="99"/>
    <w:rsid w:val="002D5820"/>
    <w:rPr>
      <w:rFonts w:ascii="Arial" w:eastAsia="Times New Roman" w:hAnsi="Arial" w:cs="Arial"/>
      <w:lang w:eastAsia="en-GB"/>
    </w:rPr>
  </w:style>
  <w:style w:type="paragraph" w:styleId="Footer">
    <w:name w:val="footer"/>
    <w:basedOn w:val="Normal"/>
    <w:link w:val="FooterChar"/>
    <w:uiPriority w:val="99"/>
    <w:unhideWhenUsed/>
    <w:rsid w:val="002D5820"/>
    <w:pPr>
      <w:tabs>
        <w:tab w:val="center" w:pos="4513"/>
        <w:tab w:val="right" w:pos="9026"/>
      </w:tabs>
      <w:spacing w:before="0" w:after="0"/>
    </w:pPr>
  </w:style>
  <w:style w:type="character" w:customStyle="1" w:styleId="FooterChar">
    <w:name w:val="Footer Char"/>
    <w:basedOn w:val="DefaultParagraphFont"/>
    <w:link w:val="Footer"/>
    <w:uiPriority w:val="99"/>
    <w:rsid w:val="002D5820"/>
    <w:rPr>
      <w:rFonts w:ascii="Arial" w:eastAsia="Times New Roman" w:hAnsi="Arial" w:cs="Arial"/>
      <w:lang w:eastAsia="en-GB"/>
    </w:rPr>
  </w:style>
  <w:style w:type="character" w:styleId="Hyperlink">
    <w:name w:val="Hyperlink"/>
    <w:basedOn w:val="DefaultParagraphFont"/>
    <w:uiPriority w:val="99"/>
    <w:unhideWhenUsed/>
    <w:rsid w:val="00D15F25"/>
    <w:rPr>
      <w:color w:val="0000FF"/>
      <w:u w:val="single"/>
    </w:rPr>
  </w:style>
  <w:style w:type="character" w:customStyle="1" w:styleId="apple-converted-space">
    <w:name w:val="apple-converted-space"/>
    <w:basedOn w:val="DefaultParagraphFont"/>
    <w:rsid w:val="00D15F25"/>
  </w:style>
  <w:style w:type="character" w:customStyle="1" w:styleId="Heading3Char">
    <w:name w:val="Heading 3 Char"/>
    <w:basedOn w:val="DefaultParagraphFont"/>
    <w:link w:val="Heading3"/>
    <w:uiPriority w:val="9"/>
    <w:rsid w:val="00866E98"/>
    <w:rPr>
      <w:rFonts w:asciiTheme="majorHAnsi" w:eastAsiaTheme="majorEastAsia" w:hAnsiTheme="majorHAnsi" w:cstheme="majorBidi"/>
      <w:color w:val="1F4D78" w:themeColor="accent1" w:themeShade="7F"/>
      <w:sz w:val="24"/>
      <w:szCs w:val="24"/>
      <w:lang w:eastAsia="en-GB"/>
    </w:rPr>
  </w:style>
  <w:style w:type="paragraph" w:styleId="CommentSubject">
    <w:name w:val="annotation subject"/>
    <w:basedOn w:val="CommentText"/>
    <w:next w:val="CommentText"/>
    <w:link w:val="CommentSubjectChar"/>
    <w:uiPriority w:val="99"/>
    <w:semiHidden/>
    <w:unhideWhenUsed/>
    <w:rsid w:val="00990CE9"/>
    <w:rPr>
      <w:b/>
      <w:bCs/>
      <w:sz w:val="20"/>
      <w:szCs w:val="20"/>
    </w:rPr>
  </w:style>
  <w:style w:type="character" w:customStyle="1" w:styleId="CommentSubjectChar">
    <w:name w:val="Comment Subject Char"/>
    <w:basedOn w:val="CommentTextChar"/>
    <w:link w:val="CommentSubject"/>
    <w:uiPriority w:val="99"/>
    <w:semiHidden/>
    <w:rsid w:val="00990CE9"/>
    <w:rPr>
      <w:rFonts w:ascii="Arial" w:eastAsia="Times New Roman" w:hAnsi="Arial" w:cs="Arial"/>
      <w:b/>
      <w:bCs/>
      <w:sz w:val="20"/>
      <w:szCs w:val="20"/>
      <w:lang w:eastAsia="en-GB"/>
    </w:rPr>
  </w:style>
  <w:style w:type="character" w:customStyle="1" w:styleId="Heading1Char">
    <w:name w:val="Heading 1 Char"/>
    <w:basedOn w:val="DefaultParagraphFont"/>
    <w:link w:val="Heading1"/>
    <w:uiPriority w:val="9"/>
    <w:rsid w:val="00667A19"/>
    <w:rPr>
      <w:rFonts w:asciiTheme="majorHAnsi" w:eastAsiaTheme="majorEastAsia" w:hAnsiTheme="majorHAnsi" w:cstheme="majorBidi"/>
      <w:color w:val="2E74B5" w:themeColor="accent1" w:themeShade="BF"/>
      <w:sz w:val="32"/>
      <w:szCs w:val="32"/>
      <w:lang w:eastAsia="en-GB"/>
    </w:rPr>
  </w:style>
  <w:style w:type="paragraph" w:styleId="Revision">
    <w:name w:val="Revision"/>
    <w:hidden/>
    <w:uiPriority w:val="99"/>
    <w:semiHidden/>
    <w:rsid w:val="000011EA"/>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6013">
      <w:bodyDiv w:val="1"/>
      <w:marLeft w:val="0"/>
      <w:marRight w:val="0"/>
      <w:marTop w:val="0"/>
      <w:marBottom w:val="0"/>
      <w:divBdr>
        <w:top w:val="none" w:sz="0" w:space="0" w:color="auto"/>
        <w:left w:val="none" w:sz="0" w:space="0" w:color="auto"/>
        <w:bottom w:val="none" w:sz="0" w:space="0" w:color="auto"/>
        <w:right w:val="none" w:sz="0" w:space="0" w:color="auto"/>
      </w:divBdr>
      <w:divsChild>
        <w:div w:id="345984883">
          <w:marLeft w:val="397"/>
          <w:marRight w:val="0"/>
          <w:marTop w:val="0"/>
          <w:marBottom w:val="0"/>
          <w:divBdr>
            <w:top w:val="none" w:sz="0" w:space="0" w:color="auto"/>
            <w:left w:val="none" w:sz="0" w:space="0" w:color="auto"/>
            <w:bottom w:val="none" w:sz="0" w:space="0" w:color="auto"/>
            <w:right w:val="none" w:sz="0" w:space="0" w:color="auto"/>
          </w:divBdr>
        </w:div>
      </w:divsChild>
    </w:div>
    <w:div w:id="392430943">
      <w:bodyDiv w:val="1"/>
      <w:marLeft w:val="0"/>
      <w:marRight w:val="0"/>
      <w:marTop w:val="0"/>
      <w:marBottom w:val="0"/>
      <w:divBdr>
        <w:top w:val="none" w:sz="0" w:space="0" w:color="auto"/>
        <w:left w:val="none" w:sz="0" w:space="0" w:color="auto"/>
        <w:bottom w:val="none" w:sz="0" w:space="0" w:color="auto"/>
        <w:right w:val="none" w:sz="0" w:space="0" w:color="auto"/>
      </w:divBdr>
      <w:divsChild>
        <w:div w:id="1176313006">
          <w:marLeft w:val="0"/>
          <w:marRight w:val="0"/>
          <w:marTop w:val="0"/>
          <w:marBottom w:val="0"/>
          <w:divBdr>
            <w:top w:val="none" w:sz="0" w:space="0" w:color="auto"/>
            <w:left w:val="none" w:sz="0" w:space="0" w:color="auto"/>
            <w:bottom w:val="none" w:sz="0" w:space="0" w:color="auto"/>
            <w:right w:val="none" w:sz="0" w:space="0" w:color="auto"/>
          </w:divBdr>
          <w:divsChild>
            <w:div w:id="345059541">
              <w:marLeft w:val="0"/>
              <w:marRight w:val="0"/>
              <w:marTop w:val="0"/>
              <w:marBottom w:val="0"/>
              <w:divBdr>
                <w:top w:val="none" w:sz="0" w:space="0" w:color="auto"/>
                <w:left w:val="none" w:sz="0" w:space="0" w:color="auto"/>
                <w:bottom w:val="none" w:sz="0" w:space="0" w:color="auto"/>
                <w:right w:val="none" w:sz="0" w:space="0" w:color="auto"/>
              </w:divBdr>
            </w:div>
            <w:div w:id="2107341045">
              <w:marLeft w:val="0"/>
              <w:marRight w:val="0"/>
              <w:marTop w:val="0"/>
              <w:marBottom w:val="0"/>
              <w:divBdr>
                <w:top w:val="none" w:sz="0" w:space="0" w:color="auto"/>
                <w:left w:val="none" w:sz="0" w:space="0" w:color="auto"/>
                <w:bottom w:val="none" w:sz="0" w:space="0" w:color="auto"/>
                <w:right w:val="none" w:sz="0" w:space="0" w:color="auto"/>
              </w:divBdr>
            </w:div>
            <w:div w:id="2067604794">
              <w:marLeft w:val="0"/>
              <w:marRight w:val="0"/>
              <w:marTop w:val="0"/>
              <w:marBottom w:val="0"/>
              <w:divBdr>
                <w:top w:val="none" w:sz="0" w:space="0" w:color="auto"/>
                <w:left w:val="none" w:sz="0" w:space="0" w:color="auto"/>
                <w:bottom w:val="none" w:sz="0" w:space="0" w:color="auto"/>
                <w:right w:val="none" w:sz="0" w:space="0" w:color="auto"/>
              </w:divBdr>
            </w:div>
          </w:divsChild>
        </w:div>
        <w:div w:id="1168713731">
          <w:marLeft w:val="0"/>
          <w:marRight w:val="0"/>
          <w:marTop w:val="0"/>
          <w:marBottom w:val="0"/>
          <w:divBdr>
            <w:top w:val="none" w:sz="0" w:space="0" w:color="auto"/>
            <w:left w:val="none" w:sz="0" w:space="0" w:color="auto"/>
            <w:bottom w:val="none" w:sz="0" w:space="0" w:color="auto"/>
            <w:right w:val="none" w:sz="0" w:space="0" w:color="auto"/>
          </w:divBdr>
        </w:div>
        <w:div w:id="1025442483">
          <w:marLeft w:val="0"/>
          <w:marRight w:val="0"/>
          <w:marTop w:val="0"/>
          <w:marBottom w:val="0"/>
          <w:divBdr>
            <w:top w:val="none" w:sz="0" w:space="0" w:color="auto"/>
            <w:left w:val="none" w:sz="0" w:space="0" w:color="auto"/>
            <w:bottom w:val="none" w:sz="0" w:space="0" w:color="auto"/>
            <w:right w:val="none" w:sz="0" w:space="0" w:color="auto"/>
          </w:divBdr>
          <w:divsChild>
            <w:div w:id="491799987">
              <w:marLeft w:val="0"/>
              <w:marRight w:val="0"/>
              <w:marTop w:val="0"/>
              <w:marBottom w:val="0"/>
              <w:divBdr>
                <w:top w:val="none" w:sz="0" w:space="0" w:color="auto"/>
                <w:left w:val="none" w:sz="0" w:space="0" w:color="auto"/>
                <w:bottom w:val="none" w:sz="0" w:space="0" w:color="auto"/>
                <w:right w:val="none" w:sz="0" w:space="0" w:color="auto"/>
              </w:divBdr>
            </w:div>
            <w:div w:id="1707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0421">
      <w:bodyDiv w:val="1"/>
      <w:marLeft w:val="0"/>
      <w:marRight w:val="0"/>
      <w:marTop w:val="0"/>
      <w:marBottom w:val="0"/>
      <w:divBdr>
        <w:top w:val="none" w:sz="0" w:space="0" w:color="auto"/>
        <w:left w:val="none" w:sz="0" w:space="0" w:color="auto"/>
        <w:bottom w:val="none" w:sz="0" w:space="0" w:color="auto"/>
        <w:right w:val="none" w:sz="0" w:space="0" w:color="auto"/>
      </w:divBdr>
      <w:divsChild>
        <w:div w:id="736904783">
          <w:marLeft w:val="0"/>
          <w:marRight w:val="0"/>
          <w:marTop w:val="0"/>
          <w:marBottom w:val="0"/>
          <w:divBdr>
            <w:top w:val="none" w:sz="0" w:space="0" w:color="auto"/>
            <w:left w:val="none" w:sz="0" w:space="0" w:color="auto"/>
            <w:bottom w:val="none" w:sz="0" w:space="0" w:color="auto"/>
            <w:right w:val="none" w:sz="0" w:space="0" w:color="auto"/>
          </w:divBdr>
        </w:div>
        <w:div w:id="1877891077">
          <w:marLeft w:val="0"/>
          <w:marRight w:val="0"/>
          <w:marTop w:val="0"/>
          <w:marBottom w:val="0"/>
          <w:divBdr>
            <w:top w:val="none" w:sz="0" w:space="0" w:color="auto"/>
            <w:left w:val="none" w:sz="0" w:space="0" w:color="auto"/>
            <w:bottom w:val="none" w:sz="0" w:space="0" w:color="auto"/>
            <w:right w:val="none" w:sz="0" w:space="0" w:color="auto"/>
          </w:divBdr>
        </w:div>
        <w:div w:id="1508015061">
          <w:marLeft w:val="0"/>
          <w:marRight w:val="0"/>
          <w:marTop w:val="0"/>
          <w:marBottom w:val="0"/>
          <w:divBdr>
            <w:top w:val="none" w:sz="0" w:space="0" w:color="auto"/>
            <w:left w:val="none" w:sz="0" w:space="0" w:color="auto"/>
            <w:bottom w:val="none" w:sz="0" w:space="0" w:color="auto"/>
            <w:right w:val="none" w:sz="0" w:space="0" w:color="auto"/>
          </w:divBdr>
        </w:div>
        <w:div w:id="1327591836">
          <w:marLeft w:val="0"/>
          <w:marRight w:val="0"/>
          <w:marTop w:val="0"/>
          <w:marBottom w:val="0"/>
          <w:divBdr>
            <w:top w:val="none" w:sz="0" w:space="0" w:color="auto"/>
            <w:left w:val="none" w:sz="0" w:space="0" w:color="auto"/>
            <w:bottom w:val="none" w:sz="0" w:space="0" w:color="auto"/>
            <w:right w:val="none" w:sz="0" w:space="0" w:color="auto"/>
          </w:divBdr>
        </w:div>
      </w:divsChild>
    </w:div>
    <w:div w:id="1148520986">
      <w:bodyDiv w:val="1"/>
      <w:marLeft w:val="0"/>
      <w:marRight w:val="0"/>
      <w:marTop w:val="0"/>
      <w:marBottom w:val="0"/>
      <w:divBdr>
        <w:top w:val="none" w:sz="0" w:space="0" w:color="auto"/>
        <w:left w:val="none" w:sz="0" w:space="0" w:color="auto"/>
        <w:bottom w:val="none" w:sz="0" w:space="0" w:color="auto"/>
        <w:right w:val="none" w:sz="0" w:space="0" w:color="auto"/>
      </w:divBdr>
      <w:divsChild>
        <w:div w:id="1653438604">
          <w:marLeft w:val="0"/>
          <w:marRight w:val="0"/>
          <w:marTop w:val="0"/>
          <w:marBottom w:val="0"/>
          <w:divBdr>
            <w:top w:val="none" w:sz="0" w:space="0" w:color="auto"/>
            <w:left w:val="none" w:sz="0" w:space="0" w:color="auto"/>
            <w:bottom w:val="none" w:sz="0" w:space="0" w:color="auto"/>
            <w:right w:val="none" w:sz="0" w:space="0" w:color="auto"/>
          </w:divBdr>
        </w:div>
        <w:div w:id="779105492">
          <w:marLeft w:val="0"/>
          <w:marRight w:val="0"/>
          <w:marTop w:val="0"/>
          <w:marBottom w:val="0"/>
          <w:divBdr>
            <w:top w:val="none" w:sz="0" w:space="0" w:color="auto"/>
            <w:left w:val="none" w:sz="0" w:space="0" w:color="auto"/>
            <w:bottom w:val="none" w:sz="0" w:space="0" w:color="auto"/>
            <w:right w:val="none" w:sz="0" w:space="0" w:color="auto"/>
          </w:divBdr>
        </w:div>
      </w:divsChild>
    </w:div>
    <w:div w:id="1877692337">
      <w:bodyDiv w:val="1"/>
      <w:marLeft w:val="0"/>
      <w:marRight w:val="0"/>
      <w:marTop w:val="0"/>
      <w:marBottom w:val="0"/>
      <w:divBdr>
        <w:top w:val="none" w:sz="0" w:space="0" w:color="auto"/>
        <w:left w:val="none" w:sz="0" w:space="0" w:color="auto"/>
        <w:bottom w:val="none" w:sz="0" w:space="0" w:color="auto"/>
        <w:right w:val="none" w:sz="0" w:space="0" w:color="auto"/>
      </w:divBdr>
      <w:divsChild>
        <w:div w:id="2068142670">
          <w:marLeft w:val="0"/>
          <w:marRight w:val="0"/>
          <w:marTop w:val="0"/>
          <w:marBottom w:val="0"/>
          <w:divBdr>
            <w:top w:val="none" w:sz="0" w:space="0" w:color="auto"/>
            <w:left w:val="none" w:sz="0" w:space="0" w:color="auto"/>
            <w:bottom w:val="none" w:sz="0" w:space="0" w:color="auto"/>
            <w:right w:val="none" w:sz="0" w:space="0" w:color="auto"/>
          </w:divBdr>
          <w:divsChild>
            <w:div w:id="803621401">
              <w:marLeft w:val="0"/>
              <w:marRight w:val="0"/>
              <w:marTop w:val="0"/>
              <w:marBottom w:val="0"/>
              <w:divBdr>
                <w:top w:val="none" w:sz="0" w:space="0" w:color="auto"/>
                <w:left w:val="none" w:sz="0" w:space="0" w:color="auto"/>
                <w:bottom w:val="none" w:sz="0" w:space="0" w:color="auto"/>
                <w:right w:val="none" w:sz="0" w:space="0" w:color="auto"/>
              </w:divBdr>
            </w:div>
            <w:div w:id="1194227105">
              <w:marLeft w:val="0"/>
              <w:marRight w:val="0"/>
              <w:marTop w:val="0"/>
              <w:marBottom w:val="0"/>
              <w:divBdr>
                <w:top w:val="none" w:sz="0" w:space="0" w:color="auto"/>
                <w:left w:val="none" w:sz="0" w:space="0" w:color="auto"/>
                <w:bottom w:val="none" w:sz="0" w:space="0" w:color="auto"/>
                <w:right w:val="none" w:sz="0" w:space="0" w:color="auto"/>
              </w:divBdr>
            </w:div>
            <w:div w:id="1301687349">
              <w:marLeft w:val="0"/>
              <w:marRight w:val="0"/>
              <w:marTop w:val="0"/>
              <w:marBottom w:val="0"/>
              <w:divBdr>
                <w:top w:val="none" w:sz="0" w:space="0" w:color="auto"/>
                <w:left w:val="none" w:sz="0" w:space="0" w:color="auto"/>
                <w:bottom w:val="none" w:sz="0" w:space="0" w:color="auto"/>
                <w:right w:val="none" w:sz="0" w:space="0" w:color="auto"/>
              </w:divBdr>
            </w:div>
          </w:divsChild>
        </w:div>
        <w:div w:id="1982153354">
          <w:marLeft w:val="0"/>
          <w:marRight w:val="0"/>
          <w:marTop w:val="0"/>
          <w:marBottom w:val="0"/>
          <w:divBdr>
            <w:top w:val="none" w:sz="0" w:space="0" w:color="auto"/>
            <w:left w:val="none" w:sz="0" w:space="0" w:color="auto"/>
            <w:bottom w:val="none" w:sz="0" w:space="0" w:color="auto"/>
            <w:right w:val="none" w:sz="0" w:space="0" w:color="auto"/>
          </w:divBdr>
        </w:div>
        <w:div w:id="1836605833">
          <w:marLeft w:val="0"/>
          <w:marRight w:val="0"/>
          <w:marTop w:val="0"/>
          <w:marBottom w:val="0"/>
          <w:divBdr>
            <w:top w:val="none" w:sz="0" w:space="0" w:color="auto"/>
            <w:left w:val="none" w:sz="0" w:space="0" w:color="auto"/>
            <w:bottom w:val="none" w:sz="0" w:space="0" w:color="auto"/>
            <w:right w:val="none" w:sz="0" w:space="0" w:color="auto"/>
          </w:divBdr>
          <w:divsChild>
            <w:div w:id="848255581">
              <w:marLeft w:val="0"/>
              <w:marRight w:val="0"/>
              <w:marTop w:val="0"/>
              <w:marBottom w:val="0"/>
              <w:divBdr>
                <w:top w:val="none" w:sz="0" w:space="0" w:color="auto"/>
                <w:left w:val="none" w:sz="0" w:space="0" w:color="auto"/>
                <w:bottom w:val="none" w:sz="0" w:space="0" w:color="auto"/>
                <w:right w:val="none" w:sz="0" w:space="0" w:color="auto"/>
              </w:divBdr>
            </w:div>
            <w:div w:id="1135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640">
      <w:bodyDiv w:val="1"/>
      <w:marLeft w:val="0"/>
      <w:marRight w:val="0"/>
      <w:marTop w:val="0"/>
      <w:marBottom w:val="0"/>
      <w:divBdr>
        <w:top w:val="none" w:sz="0" w:space="0" w:color="auto"/>
        <w:left w:val="none" w:sz="0" w:space="0" w:color="auto"/>
        <w:bottom w:val="none" w:sz="0" w:space="0" w:color="auto"/>
        <w:right w:val="none" w:sz="0" w:space="0" w:color="auto"/>
      </w:divBdr>
      <w:divsChild>
        <w:div w:id="419831775">
          <w:marLeft w:val="0"/>
          <w:marRight w:val="0"/>
          <w:marTop w:val="0"/>
          <w:marBottom w:val="0"/>
          <w:divBdr>
            <w:top w:val="none" w:sz="0" w:space="0" w:color="auto"/>
            <w:left w:val="none" w:sz="0" w:space="0" w:color="auto"/>
            <w:bottom w:val="none" w:sz="0" w:space="0" w:color="auto"/>
            <w:right w:val="none" w:sz="0" w:space="0" w:color="auto"/>
          </w:divBdr>
          <w:divsChild>
            <w:div w:id="1983730628">
              <w:marLeft w:val="0"/>
              <w:marRight w:val="0"/>
              <w:marTop w:val="0"/>
              <w:marBottom w:val="0"/>
              <w:divBdr>
                <w:top w:val="none" w:sz="0" w:space="0" w:color="auto"/>
                <w:left w:val="none" w:sz="0" w:space="0" w:color="auto"/>
                <w:bottom w:val="none" w:sz="0" w:space="0" w:color="auto"/>
                <w:right w:val="none" w:sz="0" w:space="0" w:color="auto"/>
              </w:divBdr>
            </w:div>
            <w:div w:id="956717430">
              <w:marLeft w:val="0"/>
              <w:marRight w:val="0"/>
              <w:marTop w:val="0"/>
              <w:marBottom w:val="0"/>
              <w:divBdr>
                <w:top w:val="none" w:sz="0" w:space="0" w:color="auto"/>
                <w:left w:val="none" w:sz="0" w:space="0" w:color="auto"/>
                <w:bottom w:val="none" w:sz="0" w:space="0" w:color="auto"/>
                <w:right w:val="none" w:sz="0" w:space="0" w:color="auto"/>
              </w:divBdr>
            </w:div>
          </w:divsChild>
        </w:div>
        <w:div w:id="1197500389">
          <w:marLeft w:val="0"/>
          <w:marRight w:val="0"/>
          <w:marTop w:val="0"/>
          <w:marBottom w:val="0"/>
          <w:divBdr>
            <w:top w:val="none" w:sz="0" w:space="0" w:color="auto"/>
            <w:left w:val="none" w:sz="0" w:space="0" w:color="auto"/>
            <w:bottom w:val="none" w:sz="0" w:space="0" w:color="auto"/>
            <w:right w:val="none" w:sz="0" w:space="0" w:color="auto"/>
          </w:divBdr>
        </w:div>
        <w:div w:id="587732439">
          <w:marLeft w:val="0"/>
          <w:marRight w:val="0"/>
          <w:marTop w:val="0"/>
          <w:marBottom w:val="0"/>
          <w:divBdr>
            <w:top w:val="none" w:sz="0" w:space="0" w:color="auto"/>
            <w:left w:val="none" w:sz="0" w:space="0" w:color="auto"/>
            <w:bottom w:val="none" w:sz="0" w:space="0" w:color="auto"/>
            <w:right w:val="none" w:sz="0" w:space="0" w:color="auto"/>
          </w:divBdr>
          <w:divsChild>
            <w:div w:id="1366827671">
              <w:marLeft w:val="0"/>
              <w:marRight w:val="0"/>
              <w:marTop w:val="0"/>
              <w:marBottom w:val="0"/>
              <w:divBdr>
                <w:top w:val="none" w:sz="0" w:space="0" w:color="auto"/>
                <w:left w:val="none" w:sz="0" w:space="0" w:color="auto"/>
                <w:bottom w:val="none" w:sz="0" w:space="0" w:color="auto"/>
                <w:right w:val="none" w:sz="0" w:space="0" w:color="auto"/>
              </w:divBdr>
            </w:div>
            <w:div w:id="3621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5255/UKDA-SN-78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512F-FBB0-4035-813A-0AFF3DBC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Jenny</cp:lastModifiedBy>
  <cp:revision>3</cp:revision>
  <cp:lastPrinted>2016-05-18T10:00:00Z</cp:lastPrinted>
  <dcterms:created xsi:type="dcterms:W3CDTF">2016-05-25T10:20:00Z</dcterms:created>
  <dcterms:modified xsi:type="dcterms:W3CDTF">2016-05-25T10:22:00Z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31128042.1</vt:lpwstr>
  </property>
</Properties>
</file>